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utoSpaceDE w:val="0"/>
        <w:autoSpaceDN w:val="0"/>
        <w:adjustRightInd w:val="0"/>
        <w:jc w:val="center"/>
        <w:rPr>
          <w:rFonts w:ascii="方正小标宋简体" w:eastAsia="方正小标宋简体"/>
          <w:sz w:val="44"/>
          <w:szCs w:val="44"/>
        </w:rPr>
      </w:pPr>
      <w:r>
        <w:rPr>
          <w:rFonts w:hint="eastAsia" w:ascii="方正小标宋简体" w:eastAsia="方正小标宋简体"/>
          <w:sz w:val="44"/>
          <w:szCs w:val="44"/>
        </w:rPr>
        <w:t>认证认可</w:t>
      </w:r>
      <w:r>
        <w:rPr>
          <w:rFonts w:ascii="方正小标宋简体" w:eastAsia="方正小标宋简体"/>
          <w:sz w:val="44"/>
          <w:szCs w:val="44"/>
        </w:rPr>
        <w:t>行业标准草案编制说明</w:t>
      </w:r>
    </w:p>
    <w:p>
      <w:pPr>
        <w:autoSpaceDE w:val="0"/>
        <w:autoSpaceDN w:val="0"/>
        <w:adjustRightInd w:val="0"/>
        <w:jc w:val="center"/>
        <w:rPr>
          <w:rFonts w:ascii="方正仿宋简体" w:eastAsia="方正仿宋简体"/>
          <w:color w:val="000000"/>
          <w:sz w:val="24"/>
          <w:szCs w:val="24"/>
        </w:rPr>
      </w:pPr>
      <w:r>
        <w:rPr>
          <w:rFonts w:hint="eastAsia" w:ascii="方正仿宋简体" w:eastAsia="方正仿宋简体"/>
          <w:color w:val="000000"/>
          <w:sz w:val="24"/>
          <w:szCs w:val="24"/>
        </w:rPr>
        <w:t>（参考格式）</w:t>
      </w:r>
    </w:p>
    <w:tbl>
      <w:tblPr>
        <w:tblpPr w:leftFromText="180" w:rightFromText="180" w:vertAnchor="text" w:horzAnchor="margin" w:tblpXSpec="center" w:tblpY="169"/>
        <w:tblW w:w="938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28" w:type="dxa"/>
          <w:right w:w="28" w:type="dxa"/>
        </w:tblCellMar>
      </w:tblPr>
      <w:tblGrid>
        <w:gridCol w:w="1794"/>
        <w:gridCol w:w="1384"/>
        <w:gridCol w:w="1155"/>
        <w:gridCol w:w="1635"/>
        <w:gridCol w:w="1260"/>
        <w:gridCol w:w="2156"/>
      </w:tblGrid>
      <w:tr>
        <w:trPr>
          <w:cantSplit/>
          <w:trHeight w:val="168" w:hRule="atLeast"/>
        </w:trPr>
        <w:tc>
          <w:tcPr>
            <w:tcW w:w="9384" w:type="dxa"/>
            <w:gridSpan w:val="6"/>
            <w:tcBorders>
              <w:top w:val="nil"/>
              <w:left w:val="nil"/>
              <w:bottom w:val="nil"/>
              <w:right w:val="nil"/>
            </w:tcBorders>
            <w:vAlign w:val="center"/>
          </w:tcPr>
          <w:p>
            <w:pPr>
              <w:rPr>
                <w:rFonts w:ascii="宋体" w:hAnsi="宋体"/>
                <w:b/>
                <w:color w:val="000000"/>
                <w:szCs w:val="21"/>
              </w:rPr>
            </w:pPr>
            <w:r>
              <w:rPr>
                <w:rFonts w:hint="eastAsia" w:ascii="宋体" w:hAnsi="宋体"/>
                <w:b/>
                <w:color w:val="000000"/>
                <w:szCs w:val="21"/>
              </w:rPr>
              <w:t>1、基本信息</w:t>
            </w:r>
          </w:p>
        </w:tc>
      </w:tr>
      <w:tr>
        <w:trPr>
          <w:cantSplit/>
          <w:trHeight w:val="568" w:hRule="atLeast"/>
        </w:trPr>
        <w:tc>
          <w:tcPr>
            <w:tcW w:w="1794" w:type="dxa"/>
            <w:vMerge w:val="restart"/>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1.1 标准草案名称</w:t>
            </w:r>
          </w:p>
        </w:tc>
        <w:tc>
          <w:tcPr>
            <w:tcW w:w="138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中文</w:t>
            </w:r>
          </w:p>
        </w:tc>
        <w:tc>
          <w:tcPr>
            <w:tcW w:w="6206"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黑体" w:hAnsi="Arial,Bold" w:eastAsia="黑体"/>
                <w:b/>
                <w:color w:val="000000"/>
                <w:sz w:val="44"/>
              </w:rPr>
            </w:pPr>
            <w:r>
              <w:rPr>
                <w:rFonts w:hint="eastAsia"/>
              </w:rPr>
              <w:t>地面光伏（PV）组件</w:t>
            </w:r>
            <w:r>
              <w:rPr>
                <w:rFonts w:hint="eastAsia"/>
                <w:lang w:val="en-US" w:eastAsia="zh-CN"/>
              </w:rPr>
              <w:t xml:space="preserve"> </w:t>
            </w:r>
            <w:r>
              <w:rPr>
                <w:rFonts w:hint="eastAsia"/>
              </w:rPr>
              <w:t>加强光伏组件设计鉴定和定型的评估指南</w:t>
            </w:r>
          </w:p>
        </w:tc>
      </w:tr>
      <w:tr>
        <w:trPr>
          <w:cantSplit/>
          <w:trHeight w:val="548" w:hRule="atLeast"/>
        </w:trPr>
        <w:tc>
          <w:tcPr>
            <w:tcW w:w="1794" w:type="dxa"/>
            <w:vMerge w:val="continue"/>
            <w:tcBorders>
              <w:top w:val="single" w:color="auto" w:sz="4" w:space="0"/>
              <w:left w:val="single" w:color="auto" w:sz="4" w:space="0"/>
              <w:bottom w:val="single" w:color="auto" w:sz="4" w:space="0"/>
              <w:right w:val="single" w:color="auto" w:sz="4" w:space="0"/>
            </w:tcBorders>
            <w:vAlign w:val="center"/>
          </w:tcPr>
          <w:p>
            <w:pPr>
              <w:ind w:left="141" w:leftChars="67" w:right="176" w:rightChars="84"/>
              <w:jc w:val="center"/>
              <w:rPr>
                <w:rFonts w:ascii="宋体" w:hAnsi="宋体"/>
                <w:color w:val="000000"/>
                <w:szCs w:val="21"/>
              </w:rPr>
            </w:pPr>
          </w:p>
        </w:tc>
        <w:tc>
          <w:tcPr>
            <w:tcW w:w="1384" w:type="dxa"/>
            <w:tcBorders>
              <w:top w:val="single" w:color="auto" w:sz="4" w:space="0"/>
              <w:left w:val="single" w:color="auto" w:sz="4" w:space="0"/>
              <w:bottom w:val="single" w:color="auto" w:sz="6" w:space="0"/>
              <w:right w:val="single" w:color="auto" w:sz="4" w:space="0"/>
            </w:tcBorders>
            <w:vAlign w:val="center"/>
          </w:tcPr>
          <w:p>
            <w:pPr>
              <w:jc w:val="center"/>
              <w:rPr>
                <w:rFonts w:ascii="宋体" w:hAnsi="宋体"/>
                <w:color w:val="000000"/>
                <w:szCs w:val="21"/>
              </w:rPr>
            </w:pPr>
            <w:r>
              <w:rPr>
                <w:rFonts w:ascii="宋体" w:hAnsi="宋体"/>
                <w:color w:val="000000"/>
                <w:szCs w:val="21"/>
              </w:rPr>
              <w:t>英文</w:t>
            </w:r>
          </w:p>
        </w:tc>
        <w:tc>
          <w:tcPr>
            <w:tcW w:w="6206" w:type="dxa"/>
            <w:gridSpan w:val="4"/>
            <w:tcBorders>
              <w:top w:val="single" w:color="auto" w:sz="4" w:space="0"/>
              <w:left w:val="single" w:color="auto" w:sz="4" w:space="0"/>
              <w:bottom w:val="single" w:color="auto" w:sz="4" w:space="0"/>
            </w:tcBorders>
            <w:vAlign w:val="center"/>
          </w:tcPr>
          <w:p>
            <w:pPr>
              <w:rPr>
                <w:rFonts w:ascii="宋体" w:hAnsi="宋体"/>
                <w:color w:val="000000"/>
                <w:szCs w:val="21"/>
              </w:rPr>
            </w:pPr>
            <w:r>
              <w:rPr>
                <w:rFonts w:ascii="宋体" w:hAnsi="宋体"/>
              </w:rPr>
              <w:t>Terrestrial Photovoltaic(PV) Modules-Guidelines for Increased Confidence in PV Module Design Qualification and Type Approval</w:t>
            </w:r>
          </w:p>
        </w:tc>
      </w:tr>
      <w:tr>
        <w:trPr>
          <w:cantSplit/>
          <w:trHeight w:val="603" w:hRule="atLeast"/>
        </w:trPr>
        <w:tc>
          <w:tcPr>
            <w:tcW w:w="1794" w:type="dxa"/>
            <w:vMerge w:val="restart"/>
            <w:tcBorders>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1.2 与国际标准和国外先进标准一致</w:t>
            </w:r>
            <w:r>
              <w:rPr>
                <w:rFonts w:hint="eastAsia" w:ascii="宋体" w:hAnsi="宋体"/>
                <w:color w:val="000000"/>
                <w:szCs w:val="21"/>
              </w:rPr>
              <w:t>性</w:t>
            </w:r>
            <w:r>
              <w:rPr>
                <w:rFonts w:ascii="宋体" w:hAnsi="宋体"/>
                <w:color w:val="000000"/>
                <w:szCs w:val="21"/>
              </w:rPr>
              <w:t>程度情况</w:t>
            </w:r>
          </w:p>
        </w:tc>
        <w:tc>
          <w:tcPr>
            <w:tcW w:w="1384" w:type="dxa"/>
            <w:vMerge w:val="restart"/>
            <w:tcBorders>
              <w:left w:val="single" w:color="auto" w:sz="4" w:space="0"/>
              <w:right w:val="single" w:color="auto" w:sz="4" w:space="0"/>
            </w:tcBorders>
            <w:vAlign w:val="center"/>
          </w:tcPr>
          <w:p>
            <w:pPr>
              <w:rPr>
                <w:rFonts w:ascii="宋体" w:hAnsi="宋体"/>
                <w:color w:val="000000"/>
                <w:szCs w:val="21"/>
              </w:rPr>
            </w:pPr>
            <w:r>
              <w:rPr>
                <w:rFonts w:hint="eastAsia" w:ascii="宋体" w:hAnsi="宋体"/>
                <w:snapToGrid w:val="0"/>
                <w:color w:val="000000"/>
                <w:kern w:val="0"/>
                <w:szCs w:val="21"/>
              </w:rPr>
              <w:t>■</w:t>
            </w:r>
            <w:r>
              <w:rPr>
                <w:rFonts w:ascii="宋体" w:hAnsi="宋体"/>
                <w:color w:val="000000"/>
                <w:szCs w:val="21"/>
              </w:rPr>
              <w:t>等同</w:t>
            </w:r>
            <w:r>
              <w:rPr>
                <w:rFonts w:hint="eastAsia" w:ascii="宋体" w:hAnsi="宋体"/>
                <w:color w:val="000000"/>
                <w:szCs w:val="21"/>
              </w:rPr>
              <w:t>采用</w:t>
            </w:r>
          </w:p>
          <w:p>
            <w:pPr>
              <w:rPr>
                <w:rFonts w:ascii="宋体" w:hAnsi="宋体"/>
                <w:color w:val="000000"/>
                <w:szCs w:val="21"/>
              </w:rPr>
            </w:pPr>
            <w:r>
              <w:rPr>
                <w:rFonts w:ascii="宋体" w:hAnsi="宋体"/>
                <w:color w:val="000000"/>
                <w:szCs w:val="21"/>
              </w:rPr>
              <w:t>□修改</w:t>
            </w:r>
            <w:r>
              <w:rPr>
                <w:rFonts w:hint="eastAsia" w:ascii="宋体" w:hAnsi="宋体"/>
                <w:color w:val="000000"/>
                <w:szCs w:val="21"/>
              </w:rPr>
              <w:t>采用</w:t>
            </w:r>
          </w:p>
          <w:p>
            <w:pPr>
              <w:rPr>
                <w:rFonts w:ascii="宋体" w:hAnsi="宋体"/>
                <w:color w:val="000000"/>
                <w:szCs w:val="21"/>
              </w:rPr>
            </w:pPr>
            <w:r>
              <w:rPr>
                <w:rFonts w:ascii="宋体" w:hAnsi="宋体"/>
                <w:color w:val="000000"/>
                <w:szCs w:val="21"/>
              </w:rPr>
              <w:t>□非等效</w:t>
            </w:r>
            <w:r>
              <w:rPr>
                <w:rFonts w:hint="eastAsia" w:ascii="宋体" w:hAnsi="宋体"/>
                <w:color w:val="000000"/>
                <w:szCs w:val="21"/>
              </w:rPr>
              <w:t>采用</w:t>
            </w:r>
          </w:p>
          <w:p>
            <w:pPr>
              <w:rPr>
                <w:rFonts w:ascii="宋体" w:hAnsi="宋体"/>
                <w:color w:val="000000"/>
                <w:szCs w:val="21"/>
              </w:rPr>
            </w:pPr>
            <w:r>
              <w:rPr>
                <w:rFonts w:ascii="宋体" w:hAnsi="宋体"/>
                <w:color w:val="000000"/>
                <w:szCs w:val="21"/>
              </w:rPr>
              <w:t>□</w:t>
            </w:r>
            <w:r>
              <w:rPr>
                <w:rFonts w:hint="eastAsia" w:ascii="宋体" w:hAnsi="宋体"/>
                <w:color w:val="000000"/>
                <w:szCs w:val="21"/>
              </w:rPr>
              <w:t>未采用</w:t>
            </w:r>
          </w:p>
        </w:tc>
        <w:tc>
          <w:tcPr>
            <w:tcW w:w="1155" w:type="dxa"/>
            <w:tcBorders>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标准</w:t>
            </w:r>
            <w:r>
              <w:rPr>
                <w:rFonts w:hint="eastAsia" w:ascii="宋体" w:hAnsi="宋体"/>
                <w:color w:val="000000"/>
                <w:szCs w:val="21"/>
              </w:rPr>
              <w:t>编</w:t>
            </w:r>
            <w:r>
              <w:rPr>
                <w:rFonts w:ascii="宋体" w:hAnsi="宋体"/>
                <w:color w:val="000000"/>
                <w:szCs w:val="21"/>
              </w:rPr>
              <w:t>号</w:t>
            </w:r>
          </w:p>
        </w:tc>
        <w:tc>
          <w:tcPr>
            <w:tcW w:w="5051" w:type="dxa"/>
            <w:gridSpan w:val="3"/>
            <w:tcBorders>
              <w:left w:val="single" w:color="auto" w:sz="4" w:space="0"/>
              <w:bottom w:val="single" w:color="auto" w:sz="4" w:space="0"/>
            </w:tcBorders>
            <w:vAlign w:val="center"/>
          </w:tcPr>
          <w:p>
            <w:pPr>
              <w:rPr>
                <w:rFonts w:ascii="宋体" w:hAnsi="宋体"/>
                <w:color w:val="000000"/>
                <w:szCs w:val="21"/>
              </w:rPr>
            </w:pPr>
            <w:r>
              <w:rPr>
                <w:rFonts w:ascii="宋体" w:hAnsi="宋体"/>
                <w:color w:val="000000"/>
                <w:szCs w:val="21"/>
              </w:rPr>
              <w:t>IEC</w:t>
            </w:r>
            <w:r>
              <w:rPr>
                <w:rFonts w:hint="eastAsia" w:ascii="宋体" w:hAnsi="宋体"/>
                <w:color w:val="000000"/>
                <w:szCs w:val="21"/>
              </w:rPr>
              <w:t>/</w:t>
            </w:r>
            <w:r>
              <w:rPr>
                <w:rFonts w:ascii="宋体" w:hAnsi="宋体"/>
                <w:color w:val="000000"/>
                <w:szCs w:val="21"/>
              </w:rPr>
              <w:t>TS 62941</w:t>
            </w:r>
            <w:r>
              <w:rPr>
                <w:rFonts w:hint="eastAsia" w:ascii="宋体" w:hAnsi="宋体"/>
                <w:color w:val="000000"/>
                <w:szCs w:val="21"/>
              </w:rPr>
              <w:t>：2016</w:t>
            </w:r>
          </w:p>
        </w:tc>
      </w:tr>
      <w:tr>
        <w:trPr>
          <w:cantSplit/>
          <w:trHeight w:val="659" w:hRule="atLeast"/>
        </w:trPr>
        <w:tc>
          <w:tcPr>
            <w:tcW w:w="1794" w:type="dxa"/>
            <w:vMerge w:val="continue"/>
            <w:tcBorders>
              <w:right w:val="single" w:color="auto" w:sz="4" w:space="0"/>
            </w:tcBorders>
            <w:vAlign w:val="center"/>
          </w:tcPr>
          <w:p>
            <w:pPr>
              <w:ind w:left="141" w:leftChars="67" w:right="176" w:rightChars="84"/>
              <w:jc w:val="center"/>
              <w:rPr>
                <w:rFonts w:ascii="宋体" w:hAnsi="宋体"/>
                <w:color w:val="000000"/>
                <w:szCs w:val="21"/>
              </w:rPr>
            </w:pPr>
          </w:p>
        </w:tc>
        <w:tc>
          <w:tcPr>
            <w:tcW w:w="1384" w:type="dxa"/>
            <w:vMerge w:val="continue"/>
            <w:tcBorders>
              <w:left w:val="single" w:color="auto" w:sz="4" w:space="0"/>
              <w:right w:val="single" w:color="auto" w:sz="4" w:space="0"/>
            </w:tcBorders>
            <w:vAlign w:val="center"/>
          </w:tcPr>
          <w:p>
            <w:pPr>
              <w:jc w:val="center"/>
              <w:rPr>
                <w:rFonts w:ascii="宋体" w:hAnsi="宋体"/>
                <w:color w:val="000000"/>
                <w:szCs w:val="21"/>
              </w:rPr>
            </w:pPr>
          </w:p>
        </w:tc>
        <w:tc>
          <w:tcPr>
            <w:tcW w:w="11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英文名称</w:t>
            </w:r>
          </w:p>
        </w:tc>
        <w:tc>
          <w:tcPr>
            <w:tcW w:w="5051" w:type="dxa"/>
            <w:gridSpan w:val="3"/>
            <w:tcBorders>
              <w:top w:val="single" w:color="auto" w:sz="4" w:space="0"/>
              <w:left w:val="single" w:color="auto" w:sz="4" w:space="0"/>
              <w:bottom w:val="single" w:color="auto" w:sz="4" w:space="0"/>
            </w:tcBorders>
            <w:vAlign w:val="center"/>
          </w:tcPr>
          <w:p>
            <w:pPr>
              <w:rPr>
                <w:rFonts w:ascii="宋体" w:hAnsi="宋体"/>
                <w:color w:val="000000"/>
                <w:szCs w:val="21"/>
              </w:rPr>
            </w:pPr>
            <w:r>
              <w:rPr>
                <w:rFonts w:ascii="宋体" w:hAnsi="宋体"/>
                <w:color w:val="000000"/>
                <w:szCs w:val="21"/>
              </w:rPr>
              <w:t>Terrestrial photovoltaic (PV) modules – Guidelines for increased confidence in</w:t>
            </w:r>
            <w:r>
              <w:rPr>
                <w:rFonts w:hint="eastAsia" w:ascii="宋体" w:hAnsi="宋体"/>
                <w:color w:val="000000"/>
                <w:szCs w:val="21"/>
              </w:rPr>
              <w:t xml:space="preserve"> </w:t>
            </w:r>
            <w:r>
              <w:rPr>
                <w:rFonts w:ascii="宋体" w:hAnsi="宋体"/>
                <w:color w:val="000000"/>
                <w:szCs w:val="21"/>
              </w:rPr>
              <w:t>PV module design qualification and type approval</w:t>
            </w:r>
          </w:p>
        </w:tc>
      </w:tr>
      <w:tr>
        <w:trPr>
          <w:cantSplit/>
          <w:trHeight w:val="604" w:hRule="atLeast"/>
        </w:trPr>
        <w:tc>
          <w:tcPr>
            <w:tcW w:w="1794" w:type="dxa"/>
            <w:vMerge w:val="continue"/>
            <w:tcBorders>
              <w:right w:val="single" w:color="auto" w:sz="4" w:space="0"/>
            </w:tcBorders>
            <w:vAlign w:val="center"/>
          </w:tcPr>
          <w:p>
            <w:pPr>
              <w:ind w:left="141" w:leftChars="67" w:right="176" w:rightChars="84"/>
              <w:jc w:val="center"/>
              <w:rPr>
                <w:rFonts w:ascii="宋体" w:hAnsi="宋体"/>
                <w:color w:val="000000"/>
                <w:szCs w:val="21"/>
              </w:rPr>
            </w:pPr>
          </w:p>
        </w:tc>
        <w:tc>
          <w:tcPr>
            <w:tcW w:w="1384" w:type="dxa"/>
            <w:vMerge w:val="continue"/>
            <w:tcBorders>
              <w:left w:val="single" w:color="auto" w:sz="4" w:space="0"/>
              <w:bottom w:val="single" w:color="auto" w:sz="4" w:space="0"/>
              <w:right w:val="single" w:color="auto" w:sz="4" w:space="0"/>
            </w:tcBorders>
            <w:vAlign w:val="center"/>
          </w:tcPr>
          <w:p>
            <w:pPr>
              <w:jc w:val="center"/>
              <w:rPr>
                <w:rFonts w:ascii="宋体" w:hAnsi="宋体"/>
                <w:color w:val="000000"/>
                <w:szCs w:val="21"/>
              </w:rPr>
            </w:pPr>
          </w:p>
        </w:tc>
        <w:tc>
          <w:tcPr>
            <w:tcW w:w="11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中文名称</w:t>
            </w:r>
          </w:p>
        </w:tc>
        <w:tc>
          <w:tcPr>
            <w:tcW w:w="5051" w:type="dxa"/>
            <w:gridSpan w:val="3"/>
            <w:tcBorders>
              <w:top w:val="single" w:color="auto" w:sz="4" w:space="0"/>
              <w:left w:val="single" w:color="auto" w:sz="4" w:space="0"/>
              <w:bottom w:val="single" w:color="auto" w:sz="4" w:space="0"/>
            </w:tcBorders>
            <w:vAlign w:val="center"/>
          </w:tcPr>
          <w:p>
            <w:pPr>
              <w:rPr>
                <w:rFonts w:ascii="宋体" w:hAnsi="宋体"/>
                <w:color w:val="000000"/>
                <w:szCs w:val="21"/>
              </w:rPr>
            </w:pPr>
            <w:r>
              <w:rPr>
                <w:rFonts w:hint="eastAsia" w:ascii="宋体" w:hAnsi="宋体"/>
                <w:color w:val="000000"/>
                <w:szCs w:val="21"/>
              </w:rPr>
              <w:t>地面光伏(PV)组件</w:t>
            </w:r>
            <w:r>
              <w:rPr>
                <w:rFonts w:hint="eastAsia" w:ascii="宋体" w:hAnsi="宋体"/>
                <w:color w:val="000000"/>
                <w:szCs w:val="21"/>
                <w:lang w:val="en-US" w:eastAsia="zh-CN"/>
              </w:rPr>
              <w:t xml:space="preserve"> 加强</w:t>
            </w:r>
            <w:r>
              <w:rPr>
                <w:rFonts w:hint="eastAsia" w:ascii="宋体" w:hAnsi="宋体"/>
                <w:color w:val="000000"/>
                <w:szCs w:val="21"/>
              </w:rPr>
              <w:t>光伏组件设计鉴定和定型信心的指南</w:t>
            </w:r>
          </w:p>
        </w:tc>
      </w:tr>
      <w:tr>
        <w:trPr>
          <w:cantSplit/>
          <w:trHeight w:val="510" w:hRule="atLeast"/>
        </w:trPr>
        <w:tc>
          <w:tcPr>
            <w:tcW w:w="1794" w:type="dxa"/>
            <w:tcBorders>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1.3 任务来源</w:t>
            </w:r>
          </w:p>
        </w:tc>
        <w:tc>
          <w:tcPr>
            <w:tcW w:w="1384" w:type="dxa"/>
            <w:tcBorders>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批准立项的文件名称和文件号</w:t>
            </w:r>
          </w:p>
        </w:tc>
        <w:tc>
          <w:tcPr>
            <w:tcW w:w="2790" w:type="dxa"/>
            <w:gridSpan w:val="2"/>
            <w:tcBorders>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rPr>
              <w:t>地面光伏（PV）组件</w:t>
            </w:r>
            <w:r>
              <w:rPr>
                <w:rFonts w:hint="eastAsia"/>
                <w:lang w:val="en-US" w:eastAsia="zh-CN"/>
              </w:rPr>
              <w:t xml:space="preserve"> </w:t>
            </w:r>
            <w:r>
              <w:rPr>
                <w:rFonts w:hint="eastAsia"/>
              </w:rPr>
              <w:t>加强光伏组件设计鉴定和定型的评估指南</w:t>
            </w:r>
          </w:p>
        </w:tc>
        <w:tc>
          <w:tcPr>
            <w:tcW w:w="1260" w:type="dxa"/>
            <w:tcBorders>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计划编号</w:t>
            </w:r>
          </w:p>
        </w:tc>
        <w:tc>
          <w:tcPr>
            <w:tcW w:w="2156" w:type="dxa"/>
            <w:tcBorders>
              <w:left w:val="single" w:color="auto" w:sz="4" w:space="0"/>
              <w:bottom w:val="single" w:color="auto" w:sz="4" w:space="0"/>
            </w:tcBorders>
            <w:vAlign w:val="center"/>
          </w:tcPr>
          <w:p>
            <w:pPr>
              <w:rPr>
                <w:rFonts w:ascii="宋体" w:hAnsi="宋体"/>
                <w:color w:val="000000"/>
                <w:szCs w:val="21"/>
              </w:rPr>
            </w:pPr>
            <w:r>
              <w:rPr>
                <w:rFonts w:hint="eastAsia" w:ascii="方正仿宋简体" w:hAnsi="宋体" w:eastAsia="方正仿宋简体" w:cs="宋体"/>
                <w:color w:val="000000"/>
                <w:kern w:val="0"/>
                <w:szCs w:val="21"/>
              </w:rPr>
              <w:t>2017RB007</w:t>
            </w:r>
          </w:p>
        </w:tc>
      </w:tr>
      <w:tr>
        <w:trPr>
          <w:cantSplit/>
          <w:trHeight w:val="1029" w:hRule="atLeast"/>
        </w:trPr>
        <w:tc>
          <w:tcPr>
            <w:tcW w:w="1794" w:type="dxa"/>
            <w:vAlign w:val="center"/>
          </w:tcPr>
          <w:p>
            <w:pPr>
              <w:spacing w:line="360" w:lineRule="exact"/>
              <w:ind w:left="141" w:leftChars="67" w:right="176" w:rightChars="84"/>
              <w:rPr>
                <w:rFonts w:ascii="宋体" w:hAnsi="宋体"/>
                <w:color w:val="000000"/>
                <w:szCs w:val="21"/>
              </w:rPr>
            </w:pPr>
            <w:r>
              <w:rPr>
                <w:rFonts w:hint="eastAsia" w:ascii="宋体" w:hAnsi="宋体"/>
                <w:color w:val="000000"/>
                <w:szCs w:val="21"/>
              </w:rPr>
              <w:t>1.4制（修）订</w:t>
            </w:r>
          </w:p>
        </w:tc>
        <w:tc>
          <w:tcPr>
            <w:tcW w:w="7590" w:type="dxa"/>
            <w:gridSpan w:val="5"/>
            <w:vAlign w:val="center"/>
          </w:tcPr>
          <w:p>
            <w:pPr>
              <w:jc w:val="left"/>
              <w:rPr>
                <w:rFonts w:ascii="宋体" w:hAnsi="宋体"/>
                <w:snapToGrid w:val="0"/>
                <w:color w:val="000000"/>
                <w:kern w:val="0"/>
                <w:szCs w:val="21"/>
              </w:rPr>
            </w:pPr>
            <w:r>
              <w:rPr>
                <w:rFonts w:hint="eastAsia" w:ascii="宋体" w:hAnsi="宋体"/>
                <w:snapToGrid w:val="0"/>
                <w:color w:val="000000"/>
                <w:kern w:val="0"/>
                <w:szCs w:val="21"/>
              </w:rPr>
              <w:t>■制定     □修订</w:t>
            </w:r>
            <w:r>
              <w:rPr>
                <w:rFonts w:hint="eastAsia" w:ascii="宋体" w:hAnsi="宋体"/>
                <w:szCs w:val="21"/>
              </w:rPr>
              <w:t>（被修订标准名称及编号：                      ）</w:t>
            </w:r>
          </w:p>
        </w:tc>
      </w:tr>
      <w:tr>
        <w:trPr>
          <w:cantSplit/>
          <w:trHeight w:val="745" w:hRule="atLeast"/>
        </w:trPr>
        <w:tc>
          <w:tcPr>
            <w:tcW w:w="1794" w:type="dxa"/>
            <w:vAlign w:val="center"/>
          </w:tcPr>
          <w:p>
            <w:pPr>
              <w:ind w:left="141" w:leftChars="67" w:right="176" w:rightChars="84"/>
              <w:rPr>
                <w:rFonts w:ascii="宋体" w:hAnsi="宋体"/>
                <w:color w:val="000000"/>
                <w:szCs w:val="21"/>
              </w:rPr>
            </w:pPr>
            <w:r>
              <w:rPr>
                <w:rFonts w:ascii="宋体" w:hAnsi="宋体"/>
                <w:color w:val="000000"/>
                <w:szCs w:val="21"/>
              </w:rPr>
              <w:t>1.5 起止时间</w:t>
            </w:r>
          </w:p>
        </w:tc>
        <w:tc>
          <w:tcPr>
            <w:tcW w:w="7590" w:type="dxa"/>
            <w:gridSpan w:val="5"/>
            <w:vAlign w:val="center"/>
          </w:tcPr>
          <w:p>
            <w:pPr>
              <w:jc w:val="center"/>
              <w:rPr>
                <w:rFonts w:ascii="宋体" w:hAnsi="宋体"/>
                <w:color w:val="000000"/>
                <w:szCs w:val="21"/>
              </w:rPr>
            </w:pPr>
            <w:r>
              <w:rPr>
                <w:rFonts w:hint="eastAsia" w:ascii="宋体" w:hAnsi="宋体"/>
                <w:color w:val="000000"/>
                <w:szCs w:val="21"/>
              </w:rPr>
              <w:t>2017</w:t>
            </w:r>
            <w:r>
              <w:rPr>
                <w:rFonts w:ascii="宋体" w:hAnsi="宋体"/>
                <w:color w:val="000000"/>
                <w:szCs w:val="21"/>
              </w:rPr>
              <w:t>年</w:t>
            </w:r>
            <w:r>
              <w:rPr>
                <w:rFonts w:hint="eastAsia" w:ascii="宋体" w:hAnsi="宋体"/>
                <w:color w:val="000000"/>
                <w:szCs w:val="21"/>
              </w:rPr>
              <w:t>7</w:t>
            </w:r>
            <w:r>
              <w:rPr>
                <w:rFonts w:ascii="宋体" w:hAnsi="宋体"/>
                <w:color w:val="000000"/>
                <w:szCs w:val="21"/>
              </w:rPr>
              <w:t>月---</w:t>
            </w:r>
            <w:r>
              <w:rPr>
                <w:rFonts w:hint="eastAsia" w:ascii="宋体" w:hAnsi="宋体"/>
                <w:color w:val="000000"/>
                <w:szCs w:val="21"/>
              </w:rPr>
              <w:t>2019</w:t>
            </w:r>
            <w:r>
              <w:rPr>
                <w:rFonts w:ascii="宋体" w:hAnsi="宋体"/>
                <w:color w:val="000000"/>
                <w:szCs w:val="21"/>
              </w:rPr>
              <w:t>年</w:t>
            </w:r>
            <w:r>
              <w:rPr>
                <w:rFonts w:hint="eastAsia" w:ascii="宋体" w:hAnsi="宋体"/>
                <w:color w:val="000000"/>
                <w:szCs w:val="21"/>
              </w:rPr>
              <w:t>6</w:t>
            </w:r>
            <w:r>
              <w:rPr>
                <w:rFonts w:ascii="宋体" w:hAnsi="宋体"/>
                <w:color w:val="000000"/>
                <w:szCs w:val="21"/>
              </w:rPr>
              <w:t>月</w:t>
            </w:r>
          </w:p>
        </w:tc>
      </w:tr>
      <w:tr>
        <w:trPr>
          <w:cantSplit/>
          <w:trHeight w:val="686" w:hRule="atLeast"/>
        </w:trPr>
        <w:tc>
          <w:tcPr>
            <w:tcW w:w="1794" w:type="dxa"/>
            <w:vAlign w:val="center"/>
          </w:tcPr>
          <w:p>
            <w:pPr>
              <w:ind w:left="141" w:leftChars="67" w:right="176" w:rightChars="84"/>
              <w:rPr>
                <w:rFonts w:ascii="宋体" w:hAnsi="宋体"/>
                <w:color w:val="000000"/>
                <w:szCs w:val="21"/>
              </w:rPr>
            </w:pPr>
            <w:r>
              <w:rPr>
                <w:rFonts w:ascii="宋体" w:hAnsi="宋体"/>
                <w:color w:val="000000"/>
                <w:szCs w:val="21"/>
              </w:rPr>
              <w:t xml:space="preserve">1.6 </w:t>
            </w:r>
            <w:r>
              <w:rPr>
                <w:rFonts w:hint="eastAsia" w:ascii="宋体" w:hAnsi="宋体"/>
                <w:color w:val="000000"/>
                <w:szCs w:val="21"/>
              </w:rPr>
              <w:t>标准起草</w:t>
            </w:r>
            <w:r>
              <w:rPr>
                <w:rFonts w:ascii="宋体" w:hAnsi="宋体"/>
                <w:color w:val="000000"/>
                <w:szCs w:val="21"/>
              </w:rPr>
              <w:t>单位</w:t>
            </w:r>
          </w:p>
        </w:tc>
        <w:tc>
          <w:tcPr>
            <w:tcW w:w="7590" w:type="dxa"/>
            <w:gridSpan w:val="5"/>
            <w:vAlign w:val="center"/>
          </w:tcPr>
          <w:p>
            <w:pPr>
              <w:ind w:firstLine="420" w:firstLineChars="200"/>
              <w:rPr>
                <w:rFonts w:ascii="宋体" w:hAnsi="宋体"/>
                <w:color w:val="000000"/>
                <w:szCs w:val="21"/>
              </w:rPr>
            </w:pPr>
            <w:r>
              <w:rPr>
                <w:rFonts w:hint="eastAsia" w:ascii="宋体" w:hAnsi="宋体"/>
                <w:szCs w:val="21"/>
              </w:rPr>
              <w:t>中国质量认证中心、中检集团南方电子产品测试（深圳）有限公司、晶科能源有限公司、晶澳太阳能有限公司、常州天合光能有限公司。</w:t>
            </w:r>
          </w:p>
        </w:tc>
      </w:tr>
      <w:tr>
        <w:trPr>
          <w:cantSplit/>
          <w:trHeight w:val="837" w:hRule="atLeast"/>
        </w:trPr>
        <w:tc>
          <w:tcPr>
            <w:tcW w:w="1794" w:type="dxa"/>
            <w:vAlign w:val="center"/>
          </w:tcPr>
          <w:p>
            <w:pPr>
              <w:ind w:left="141" w:leftChars="67" w:right="176" w:rightChars="84"/>
              <w:rPr>
                <w:rFonts w:ascii="宋体" w:hAnsi="宋体"/>
                <w:color w:val="000000"/>
                <w:szCs w:val="21"/>
              </w:rPr>
            </w:pPr>
            <w:r>
              <w:rPr>
                <w:rFonts w:ascii="宋体" w:hAnsi="宋体"/>
                <w:color w:val="000000"/>
                <w:szCs w:val="21"/>
              </w:rPr>
              <w:t>1.7 起草</w:t>
            </w:r>
            <w:r>
              <w:rPr>
                <w:rFonts w:hint="eastAsia" w:ascii="宋体" w:hAnsi="宋体"/>
                <w:color w:val="000000"/>
                <w:szCs w:val="21"/>
              </w:rPr>
              <w:t>组成员</w:t>
            </w:r>
          </w:p>
        </w:tc>
        <w:tc>
          <w:tcPr>
            <w:tcW w:w="7590" w:type="dxa"/>
            <w:gridSpan w:val="5"/>
            <w:vAlign w:val="center"/>
          </w:tcPr>
          <w:p>
            <w:pPr>
              <w:ind w:firstLine="420" w:firstLineChars="200"/>
              <w:rPr>
                <w:color w:val="FF0000"/>
              </w:rPr>
            </w:pPr>
            <w:r>
              <w:rPr>
                <w:rFonts w:hint="eastAsia" w:ascii="宋体" w:hAnsi="宋体"/>
                <w:szCs w:val="21"/>
                <w:lang w:eastAsia="zh-CN"/>
              </w:rPr>
              <w:t>王宁、邢合萍、张雪、王健全、周凯旋</w:t>
            </w:r>
          </w:p>
        </w:tc>
      </w:tr>
      <w:tr>
        <w:trPr>
          <w:cantSplit/>
          <w:trHeight w:val="1264" w:hRule="exact"/>
        </w:trPr>
        <w:tc>
          <w:tcPr>
            <w:tcW w:w="1794" w:type="dxa"/>
            <w:tcBorders>
              <w:bottom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w:t>
            </w:r>
            <w:r>
              <w:rPr>
                <w:rFonts w:hint="eastAsia" w:ascii="宋体" w:hAnsi="宋体"/>
                <w:color w:val="000000"/>
                <w:szCs w:val="21"/>
              </w:rPr>
              <w:t>8</w:t>
            </w:r>
            <w:r>
              <w:rPr>
                <w:rFonts w:ascii="宋体" w:hAnsi="宋体"/>
                <w:color w:val="000000"/>
                <w:szCs w:val="21"/>
              </w:rPr>
              <w:t xml:space="preserve"> </w:t>
            </w:r>
            <w:r>
              <w:rPr>
                <w:rFonts w:hint="eastAsia" w:ascii="宋体" w:hAnsi="宋体"/>
                <w:color w:val="000000"/>
                <w:szCs w:val="21"/>
              </w:rPr>
              <w:t>标准体系表内编号</w:t>
            </w:r>
          </w:p>
        </w:tc>
        <w:tc>
          <w:tcPr>
            <w:tcW w:w="7590" w:type="dxa"/>
            <w:gridSpan w:val="5"/>
            <w:tcBorders>
              <w:bottom w:val="single" w:color="auto" w:sz="4" w:space="0"/>
            </w:tcBorders>
            <w:vAlign w:val="center"/>
          </w:tcPr>
          <w:p>
            <w:pPr>
              <w:rPr>
                <w:rFonts w:ascii="宋体" w:hAnsi="宋体"/>
                <w:color w:val="000000"/>
                <w:szCs w:val="21"/>
              </w:rPr>
            </w:pPr>
          </w:p>
        </w:tc>
      </w:tr>
      <w:tr>
        <w:trPr>
          <w:cantSplit/>
          <w:trHeight w:val="2424" w:hRule="exac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w:t>
            </w:r>
            <w:r>
              <w:rPr>
                <w:rFonts w:hint="eastAsia" w:ascii="宋体" w:hAnsi="宋体"/>
                <w:color w:val="000000"/>
                <w:szCs w:val="21"/>
              </w:rPr>
              <w:t>9</w:t>
            </w:r>
            <w:r>
              <w:rPr>
                <w:rFonts w:ascii="宋体" w:hAnsi="宋体"/>
                <w:color w:val="000000"/>
                <w:szCs w:val="21"/>
              </w:rPr>
              <w:t>调整情况</w:t>
            </w:r>
          </w:p>
        </w:tc>
        <w:tc>
          <w:tcPr>
            <w:tcW w:w="7590" w:type="dxa"/>
            <w:gridSpan w:val="5"/>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p>
            <w:pPr>
              <w:rPr>
                <w:rFonts w:ascii="宋体" w:hAnsi="宋体"/>
                <w:color w:val="000000"/>
                <w:szCs w:val="21"/>
              </w:rPr>
            </w:pPr>
          </w:p>
        </w:tc>
      </w:tr>
    </w:tbl>
    <w:p>
      <w:pPr>
        <w:rPr>
          <w:rFonts w:eastAsia="仿宋_GB2312"/>
          <w:b/>
          <w:color w:val="000000"/>
          <w:kern w:val="0"/>
          <w:sz w:val="32"/>
        </w:rPr>
      </w:pPr>
    </w:p>
    <w:tbl>
      <w:tblPr>
        <w:tblpPr w:leftFromText="180" w:rightFromText="180" w:vertAnchor="text" w:horzAnchor="margin" w:tblpXSpec="center" w:tblpY="169"/>
        <w:tblW w:w="962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28" w:type="dxa"/>
          <w:right w:w="28" w:type="dxa"/>
        </w:tblCellMar>
      </w:tblPr>
      <w:tblGrid>
        <w:gridCol w:w="1794"/>
        <w:gridCol w:w="6"/>
        <w:gridCol w:w="213"/>
        <w:gridCol w:w="1075"/>
        <w:gridCol w:w="1080"/>
        <w:gridCol w:w="396"/>
        <w:gridCol w:w="1224"/>
        <w:gridCol w:w="1186"/>
        <w:gridCol w:w="254"/>
        <w:gridCol w:w="2156"/>
        <w:gridCol w:w="241"/>
      </w:tblGrid>
      <w:tr>
        <w:trPr>
          <w:gridAfter w:val="1"/>
          <w:wAfter w:w="241" w:type="dxa"/>
          <w:cantSplit/>
          <w:trHeight w:val="485" w:hRule="exact"/>
        </w:trPr>
        <w:tc>
          <w:tcPr>
            <w:tcW w:w="9384" w:type="dxa"/>
            <w:gridSpan w:val="10"/>
            <w:tcBorders>
              <w:top w:val="nil"/>
              <w:left w:val="nil"/>
              <w:bottom w:val="nil"/>
              <w:right w:val="nil"/>
            </w:tcBorders>
            <w:vAlign w:val="center"/>
          </w:tcPr>
          <w:p>
            <w:pPr>
              <w:rPr>
                <w:rFonts w:ascii="宋体" w:hAnsi="宋体"/>
                <w:b/>
                <w:color w:val="000000"/>
                <w:szCs w:val="21"/>
              </w:rPr>
            </w:pPr>
            <w:r>
              <w:rPr>
                <w:rFonts w:hint="eastAsia" w:ascii="宋体" w:hAnsi="宋体"/>
                <w:b/>
                <w:color w:val="000000"/>
                <w:szCs w:val="21"/>
              </w:rPr>
              <w:t>2、背景情况</w:t>
            </w:r>
          </w:p>
        </w:tc>
      </w:tr>
      <w:tr>
        <w:trPr>
          <w:gridAfter w:val="1"/>
          <w:wAfter w:w="241" w:type="dxa"/>
          <w:cantSplit/>
          <w:trHeight w:val="5733" w:hRule="atLeast"/>
        </w:trPr>
        <w:tc>
          <w:tcPr>
            <w:tcW w:w="1794" w:type="dxa"/>
            <w:tcBorders>
              <w:top w:val="single" w:color="auto" w:sz="4" w:space="0"/>
              <w:left w:val="single" w:color="auto" w:sz="4" w:space="0"/>
              <w:right w:val="single" w:color="auto" w:sz="4" w:space="0"/>
            </w:tcBorders>
            <w:vAlign w:val="center"/>
          </w:tcPr>
          <w:p>
            <w:pPr>
              <w:ind w:left="141" w:leftChars="67" w:right="36" w:rightChars="17"/>
              <w:rPr>
                <w:rFonts w:ascii="宋体" w:hAnsi="宋体"/>
                <w:color w:val="000000"/>
                <w:szCs w:val="21"/>
              </w:rPr>
            </w:pPr>
            <w:r>
              <w:rPr>
                <w:rFonts w:ascii="宋体" w:hAnsi="宋体"/>
                <w:color w:val="000000"/>
                <w:szCs w:val="21"/>
              </w:rPr>
              <w:t>2.1 目的、意义</w:t>
            </w:r>
          </w:p>
          <w:p>
            <w:pPr>
              <w:ind w:left="141" w:leftChars="67" w:right="36" w:rightChars="17"/>
              <w:rPr>
                <w:rFonts w:ascii="宋体" w:hAnsi="宋体"/>
                <w:color w:val="000000"/>
                <w:szCs w:val="21"/>
              </w:rPr>
            </w:pPr>
            <w:r>
              <w:rPr>
                <w:rFonts w:hint="eastAsia" w:ascii="宋体" w:hAnsi="宋体"/>
                <w:color w:val="000000"/>
                <w:szCs w:val="21"/>
              </w:rPr>
              <w:t>（工作开展背景及要求）</w:t>
            </w:r>
          </w:p>
        </w:tc>
        <w:tc>
          <w:tcPr>
            <w:tcW w:w="7590" w:type="dxa"/>
            <w:gridSpan w:val="9"/>
            <w:tcBorders>
              <w:top w:val="single" w:color="auto" w:sz="4" w:space="0"/>
              <w:left w:val="single" w:color="auto" w:sz="4" w:space="0"/>
              <w:right w:val="single" w:color="auto" w:sz="4" w:space="0"/>
            </w:tcBorders>
            <w:vAlign w:val="center"/>
          </w:tcPr>
          <w:p>
            <w:pPr>
              <w:pStyle w:val="5"/>
              <w:spacing w:before="150" w:after="376" w:line="420" w:lineRule="atLeast"/>
              <w:ind w:left="226" w:firstLine="420"/>
              <w:rPr>
                <w:rFonts w:cs="Times New Roman"/>
                <w:color w:val="000000"/>
                <w:kern w:val="2"/>
                <w:sz w:val="21"/>
                <w:szCs w:val="21"/>
              </w:rPr>
            </w:pPr>
            <w:r>
              <w:rPr>
                <w:rFonts w:hint="eastAsia" w:cs="Times New Roman"/>
                <w:color w:val="000000"/>
                <w:kern w:val="2"/>
                <w:sz w:val="21"/>
                <w:szCs w:val="21"/>
              </w:rPr>
              <w:t>2013年国务院发布《关于促进光伏产业健康发展的若干意见》（国发[2013]24号）以来，我国光伏技术进步明显加快，市场规模迅速扩大，为光伏产业发展提供了有力的市场支撑。与此同时，也出现了部分落后产能不能及时退出市场、先进技术产品无法进入市场、光伏产业整体技术升级缓慢、光伏发电工程质量存在隐患等问题。为促进先进光伏技术产品应用和产业升级，加强光伏产品和工程质量管理，2015年6月1日，国家能源局、工业和信息化部、国家认监委引发了《关于促进先进光伏技术产品应用和产业升级的意见》，意见第七条提出了“加强技术监测和监督。国家能源局、工业和信息化部和国家认监委等部门定期组织有关单位对光伏市场产品开展技术质量检查，重点检查光伏产品关键技术性能和产品质量，完善技术质量管理政策，检查结果向社会公布。”</w:t>
            </w:r>
          </w:p>
          <w:p>
            <w:pPr>
              <w:pStyle w:val="5"/>
              <w:spacing w:before="150" w:beforeAutospacing="0" w:after="376" w:afterAutospacing="0" w:line="420" w:lineRule="atLeast"/>
              <w:ind w:left="226" w:firstLine="420"/>
              <w:rPr>
                <w:rFonts w:hint="eastAsia" w:cs="Times New Roman"/>
                <w:color w:val="FF0000"/>
                <w:kern w:val="2"/>
                <w:sz w:val="21"/>
                <w:szCs w:val="21"/>
              </w:rPr>
            </w:pPr>
            <w:r>
              <w:rPr>
                <w:rFonts w:hint="eastAsia" w:cs="Times New Roman"/>
                <w:color w:val="000000"/>
                <w:kern w:val="2"/>
                <w:sz w:val="21"/>
                <w:szCs w:val="21"/>
              </w:rPr>
              <w:t>为全面贯彻上述文件精神及要求，主动作为、落实相关任务要求，认证认可主管部门国家认监委承担了光伏组件质量管理体系建设的任务。为规范光伏组件从设计、生产到售后服务整个产品生命周期各环节的质量和可靠性保证要求，更好地确保光伏组件厂商对产品质量和可靠性承诺，从而保证光伏行业持续健康发展，特制定本标准。本项目的顺利实施将指导光伏组件厂商使用统一的设计、生产质量合格判定程序，有利于提高光伏组件的可靠性，增强组件厂商的服务质量和客户满意度，有利于促进光伏组件持续健康发展。</w:t>
            </w:r>
          </w:p>
        </w:tc>
      </w:tr>
      <w:tr>
        <w:trPr>
          <w:gridAfter w:val="1"/>
          <w:wAfter w:w="241" w:type="dxa"/>
          <w:cantSplit/>
          <w:trHeight w:val="7061" w:hRule="exact"/>
        </w:trPr>
        <w:tc>
          <w:tcPr>
            <w:tcW w:w="1794" w:type="dxa"/>
            <w:tcBorders>
              <w:top w:val="single" w:color="auto" w:sz="4" w:space="0"/>
              <w:left w:val="single" w:color="auto" w:sz="4" w:space="0"/>
              <w:right w:val="single" w:color="auto" w:sz="4" w:space="0"/>
            </w:tcBorders>
            <w:vAlign w:val="center"/>
          </w:tcPr>
          <w:p>
            <w:pPr>
              <w:ind w:left="141" w:leftChars="67" w:right="36" w:rightChars="17"/>
              <w:rPr>
                <w:rFonts w:ascii="宋体" w:hAnsi="宋体"/>
                <w:color w:val="000000"/>
                <w:szCs w:val="21"/>
              </w:rPr>
            </w:pPr>
            <w:r>
              <w:rPr>
                <w:rFonts w:ascii="宋体" w:hAnsi="宋体"/>
                <w:color w:val="000000"/>
                <w:szCs w:val="21"/>
              </w:rPr>
              <w:t>2.2 与国内外相关标准、文献的关系</w:t>
            </w:r>
          </w:p>
          <w:p>
            <w:pPr>
              <w:ind w:left="141" w:leftChars="67" w:right="36" w:rightChars="17"/>
              <w:rPr>
                <w:rFonts w:ascii="宋体" w:hAnsi="宋体"/>
                <w:color w:val="000000"/>
                <w:szCs w:val="21"/>
              </w:rPr>
            </w:pPr>
          </w:p>
        </w:tc>
        <w:tc>
          <w:tcPr>
            <w:tcW w:w="7590" w:type="dxa"/>
            <w:gridSpan w:val="9"/>
            <w:tcBorders>
              <w:top w:val="single" w:color="auto" w:sz="4" w:space="0"/>
              <w:left w:val="single" w:color="auto" w:sz="4" w:space="0"/>
              <w:bottom w:val="single" w:color="auto" w:sz="4" w:space="0"/>
              <w:right w:val="single" w:color="auto" w:sz="4" w:space="0"/>
            </w:tcBorders>
            <w:vAlign w:val="center"/>
          </w:tcPr>
          <w:p>
            <w:pPr>
              <w:pStyle w:val="17"/>
              <w:snapToGrid w:val="0"/>
              <w:spacing w:line="240" w:lineRule="auto"/>
              <w:ind w:firstLine="420" w:firstLineChars="200"/>
              <w:rPr>
                <w:rFonts w:cs="Times New Roman"/>
                <w:color w:val="000000"/>
                <w:sz w:val="21"/>
                <w:szCs w:val="21"/>
              </w:rPr>
            </w:pPr>
            <w:r>
              <w:rPr>
                <w:rFonts w:hint="eastAsia" w:cs="Times New Roman"/>
                <w:color w:val="000000"/>
                <w:sz w:val="21"/>
                <w:szCs w:val="21"/>
              </w:rPr>
              <w:t>本标准同等采用</w:t>
            </w:r>
            <w:r>
              <w:rPr>
                <w:rFonts w:cs="Times New Roman"/>
                <w:color w:val="000000"/>
                <w:sz w:val="21"/>
                <w:szCs w:val="21"/>
              </w:rPr>
              <w:t>IEC</w:t>
            </w:r>
            <w:r>
              <w:rPr>
                <w:rFonts w:hint="eastAsia" w:cs="Times New Roman"/>
                <w:color w:val="000000"/>
                <w:sz w:val="21"/>
                <w:szCs w:val="21"/>
              </w:rPr>
              <w:t>/</w:t>
            </w:r>
            <w:r>
              <w:rPr>
                <w:rFonts w:cs="Times New Roman"/>
                <w:color w:val="000000"/>
                <w:sz w:val="21"/>
                <w:szCs w:val="21"/>
              </w:rPr>
              <w:t xml:space="preserve"> TS 62941</w:t>
            </w:r>
            <w:r>
              <w:rPr>
                <w:rFonts w:hint="eastAsia" w:cs="Times New Roman"/>
                <w:color w:val="000000"/>
                <w:sz w:val="21"/>
                <w:szCs w:val="21"/>
              </w:rPr>
              <w:t>：2016《地面光伏(PV)组件-增强光伏组件设计鉴定和定型信心的指南》，依据《中华人民共和国认证认可条例》进行编制，并参考了多项国内外相关标准，如：GB/T 19000-2008 质量管理体系 基础和术语、GB/T 19011-2013 管理体系审核指南、IEC 60812 系统可靠性分析技术 失效模式和影响分析（FMEA）程序、IEC 60891 晶体硅光伏器件的I-V实测特性的温度和辐照度修正方法、IEC</w:t>
            </w:r>
            <w:r>
              <w:rPr>
                <w:rFonts w:cs="Times New Roman"/>
                <w:color w:val="000000"/>
                <w:sz w:val="21"/>
                <w:szCs w:val="21"/>
              </w:rPr>
              <w:t xml:space="preserve"> </w:t>
            </w:r>
            <w:r>
              <w:rPr>
                <w:rFonts w:hint="eastAsia" w:cs="Times New Roman"/>
                <w:color w:val="000000"/>
                <w:sz w:val="21"/>
                <w:szCs w:val="21"/>
              </w:rPr>
              <w:t>60904-1 光伏器件 第1部分:光伏电流-电压特性的测量、IEC 60904-2 光伏器件 第2部分:标准太阳电池的要求、IEC 60904-3 光伏器件 第3 部分: 地面用光伏器件的测量原理及标准光谱辐照度数据、IEC 60904-4 光伏器件 第4部分：标准太阳器件-建立校准可追溯性程序、IEC 60904-7 光伏器件 第7部分：光伏器件测量过程中引起的光谱失配误差的计算、IEC 60904-9 光伏器件 第9部分：太阳模拟器性能要求、IEC 61215 地面光伏组件 设计鉴定和定型、IEC 61646 地面用薄膜光伏组件 设计鉴定和定型、IEC 61730-1 光伏组件安全鉴定 第1部分：结构要求、IEC 61730-2 光伏组件安全鉴定 第2部分：试验要求、IEC TS 61836 太阳光伏能源系统术语、定义和符号、、IEC 61853-1 光伏组件性能试验和能量评定 第1部分： 辐照度和温度性能测量和功率评定、IEC 62108 聚光光伏组件和部件 设计鉴定和定型、、IEC 62759-1 光伏组件运输试验 第1部分：组件包装单元的运输和装卸、IEC/TS 62915 光伏组件 设计定型和安全鉴定重测导则、IEC/TS 62916 旁路二极管静电放电敏感度试验、ISO 9001 质量管理体系 要求、ISO/IEC指南98-3：2008 测量不确定度 第3部分：测量不确定度的表达指南等。</w:t>
            </w:r>
          </w:p>
        </w:tc>
      </w:tr>
      <w:tr>
        <w:trPr>
          <w:cantSplit/>
          <w:trHeight w:val="465" w:hRule="exact"/>
        </w:trPr>
        <w:tc>
          <w:tcPr>
            <w:tcW w:w="9625" w:type="dxa"/>
            <w:gridSpan w:val="11"/>
            <w:tcBorders>
              <w:top w:val="nil"/>
              <w:left w:val="nil"/>
              <w:bottom w:val="nil"/>
              <w:right w:val="nil"/>
            </w:tcBorders>
            <w:vAlign w:val="center"/>
          </w:tcPr>
          <w:p>
            <w:pPr>
              <w:rPr>
                <w:rFonts w:ascii="宋体" w:hAnsi="宋体"/>
                <w:b/>
                <w:color w:val="000000"/>
                <w:szCs w:val="21"/>
              </w:rPr>
            </w:pPr>
            <w:r>
              <w:rPr>
                <w:rFonts w:hint="eastAsia" w:ascii="宋体" w:hAnsi="宋体"/>
                <w:b/>
                <w:color w:val="000000"/>
                <w:szCs w:val="21"/>
              </w:rPr>
              <w:t>3  编制过程</w:t>
            </w:r>
          </w:p>
        </w:tc>
      </w:tr>
      <w:tr>
        <w:trPr>
          <w:cantSplit/>
          <w:trHeight w:val="1834" w:hRule="atLeast"/>
        </w:trPr>
        <w:tc>
          <w:tcPr>
            <w:tcW w:w="1794" w:type="dxa"/>
            <w:tcBorders>
              <w:top w:val="single" w:color="auto" w:sz="4" w:space="0"/>
              <w:bottom w:val="single" w:color="auto" w:sz="4" w:space="0"/>
            </w:tcBorders>
            <w:vAlign w:val="center"/>
          </w:tcPr>
          <w:p>
            <w:pPr>
              <w:ind w:left="141" w:leftChars="67" w:right="176" w:rightChars="84"/>
              <w:rPr>
                <w:rFonts w:ascii="宋体" w:hAnsi="宋体"/>
                <w:color w:val="auto"/>
                <w:szCs w:val="21"/>
              </w:rPr>
            </w:pPr>
            <w:r>
              <w:rPr>
                <w:rFonts w:ascii="宋体" w:hAnsi="宋体"/>
                <w:color w:val="auto"/>
                <w:szCs w:val="21"/>
              </w:rPr>
              <w:t>3.</w:t>
            </w:r>
            <w:r>
              <w:rPr>
                <w:rFonts w:hint="eastAsia" w:ascii="宋体" w:hAnsi="宋体"/>
                <w:color w:val="auto"/>
                <w:szCs w:val="21"/>
              </w:rPr>
              <w:t>1</w:t>
            </w:r>
            <w:r>
              <w:rPr>
                <w:rFonts w:ascii="宋体" w:hAnsi="宋体"/>
                <w:color w:val="auto"/>
                <w:szCs w:val="21"/>
              </w:rPr>
              <w:t xml:space="preserve"> 分工情况</w:t>
            </w:r>
          </w:p>
        </w:tc>
        <w:tc>
          <w:tcPr>
            <w:tcW w:w="7831" w:type="dxa"/>
            <w:gridSpan w:val="10"/>
            <w:tcBorders>
              <w:bottom w:val="single" w:color="auto" w:sz="4" w:space="0"/>
            </w:tcBorders>
            <w:vAlign w:val="center"/>
          </w:tcPr>
          <w:p>
            <w:pPr>
              <w:pStyle w:val="20"/>
              <w:rPr>
                <w:rFonts w:hint="eastAsia" w:eastAsia="宋体"/>
                <w:color w:val="auto"/>
                <w:szCs w:val="21"/>
                <w:lang w:val="en-US" w:eastAsia="zh-CN"/>
              </w:rPr>
            </w:pPr>
            <w:r>
              <w:rPr>
                <w:rFonts w:hint="eastAsia"/>
                <w:color w:val="auto"/>
                <w:szCs w:val="21"/>
                <w:lang w:val="en-US" w:eastAsia="zh-CN"/>
              </w:rPr>
              <w:t>/</w:t>
            </w:r>
          </w:p>
        </w:tc>
      </w:tr>
      <w:tr>
        <w:trPr>
          <w:cantSplit/>
          <w:trHeight w:val="1976" w:hRule="atLeast"/>
        </w:trPr>
        <w:tc>
          <w:tcPr>
            <w:tcW w:w="1794" w:type="dxa"/>
            <w:tcBorders>
              <w:top w:val="single" w:color="auto" w:sz="4" w:space="0"/>
              <w:bottom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3.</w:t>
            </w:r>
            <w:r>
              <w:rPr>
                <w:rFonts w:hint="eastAsia" w:ascii="宋体" w:hAnsi="宋体"/>
                <w:color w:val="000000"/>
                <w:szCs w:val="21"/>
              </w:rPr>
              <w:t>2</w:t>
            </w:r>
            <w:r>
              <w:rPr>
                <w:rFonts w:ascii="宋体" w:hAnsi="宋体"/>
                <w:color w:val="000000"/>
                <w:szCs w:val="21"/>
              </w:rPr>
              <w:t xml:space="preserve"> </w:t>
            </w:r>
            <w:r>
              <w:rPr>
                <w:rFonts w:hint="eastAsia" w:ascii="宋体" w:hAnsi="宋体"/>
                <w:color w:val="000000"/>
                <w:szCs w:val="21"/>
              </w:rPr>
              <w:t>起草阶段</w:t>
            </w:r>
          </w:p>
        </w:tc>
        <w:tc>
          <w:tcPr>
            <w:tcW w:w="7831" w:type="dxa"/>
            <w:gridSpan w:val="10"/>
            <w:tcBorders>
              <w:bottom w:val="single" w:color="auto" w:sz="4" w:space="0"/>
            </w:tcBorders>
            <w:vAlign w:val="center"/>
          </w:tcPr>
          <w:p>
            <w:pPr>
              <w:rPr>
                <w:rFonts w:ascii="宋体" w:hAnsi="宋体"/>
                <w:color w:val="000000"/>
                <w:szCs w:val="21"/>
              </w:rPr>
            </w:pPr>
            <w:r>
              <w:rPr>
                <w:rFonts w:hint="eastAsia" w:ascii="宋体" w:hAnsi="宋体"/>
                <w:color w:val="000000"/>
                <w:szCs w:val="21"/>
              </w:rPr>
              <w:t>1.起草组收集、整理并结合</w:t>
            </w:r>
            <w:r>
              <w:rPr>
                <w:color w:val="000000"/>
                <w:szCs w:val="21"/>
              </w:rPr>
              <w:t>IEC</w:t>
            </w:r>
            <w:r>
              <w:rPr>
                <w:rFonts w:hint="eastAsia"/>
                <w:color w:val="000000"/>
                <w:szCs w:val="21"/>
              </w:rPr>
              <w:t>/</w:t>
            </w:r>
            <w:r>
              <w:rPr>
                <w:color w:val="000000"/>
                <w:szCs w:val="21"/>
              </w:rPr>
              <w:t xml:space="preserve"> TS 62941</w:t>
            </w:r>
            <w:r>
              <w:rPr>
                <w:rFonts w:hint="eastAsia"/>
                <w:color w:val="000000"/>
                <w:szCs w:val="21"/>
              </w:rPr>
              <w:t>：2016国际标准分析了地面用光伏组件设计鉴定和定型评估的发展现状；</w:t>
            </w:r>
          </w:p>
          <w:p>
            <w:pPr>
              <w:rPr>
                <w:rFonts w:ascii="宋体" w:hAnsi="宋体"/>
                <w:color w:val="000000"/>
                <w:szCs w:val="21"/>
              </w:rPr>
            </w:pPr>
            <w:r>
              <w:rPr>
                <w:rFonts w:hint="eastAsia" w:ascii="宋体" w:hAnsi="宋体"/>
                <w:color w:val="000000"/>
                <w:szCs w:val="21"/>
              </w:rPr>
              <w:t>2.起草组按照分工起草标准；</w:t>
            </w:r>
          </w:p>
          <w:p>
            <w:pPr>
              <w:rPr>
                <w:rFonts w:ascii="宋体" w:hAnsi="宋体"/>
                <w:color w:val="000000"/>
                <w:szCs w:val="21"/>
              </w:rPr>
            </w:pPr>
            <w:r>
              <w:rPr>
                <w:rFonts w:hint="eastAsia" w:ascii="宋体" w:hAnsi="宋体"/>
                <w:color w:val="000000"/>
                <w:szCs w:val="21"/>
              </w:rPr>
              <w:t>3.定期组织研讨；</w:t>
            </w:r>
          </w:p>
          <w:p>
            <w:pPr>
              <w:rPr>
                <w:rFonts w:ascii="宋体" w:hAnsi="宋体"/>
                <w:color w:val="000000"/>
                <w:szCs w:val="21"/>
              </w:rPr>
            </w:pPr>
            <w:r>
              <w:rPr>
                <w:rFonts w:hint="eastAsia" w:ascii="宋体" w:hAnsi="宋体"/>
                <w:color w:val="000000"/>
                <w:szCs w:val="21"/>
              </w:rPr>
              <w:t>4.形成起草组工作稿草稿，并组内征求意见；</w:t>
            </w:r>
          </w:p>
          <w:p>
            <w:pPr>
              <w:rPr>
                <w:rFonts w:ascii="宋体" w:hAnsi="宋体"/>
                <w:color w:val="000000"/>
                <w:szCs w:val="21"/>
              </w:rPr>
            </w:pPr>
            <w:r>
              <w:rPr>
                <w:rFonts w:hint="eastAsia" w:ascii="宋体" w:hAnsi="宋体"/>
                <w:color w:val="000000"/>
                <w:szCs w:val="21"/>
              </w:rPr>
              <w:t>5.形成征求意见稿。</w:t>
            </w:r>
          </w:p>
        </w:tc>
      </w:tr>
      <w:tr>
        <w:trPr>
          <w:cantSplit/>
          <w:trHeight w:val="1258" w:hRule="atLeast"/>
        </w:trPr>
        <w:tc>
          <w:tcPr>
            <w:tcW w:w="1794" w:type="dxa"/>
            <w:tcBorders>
              <w:top w:val="single" w:color="auto" w:sz="4" w:space="0"/>
              <w:bottom w:val="single" w:color="auto" w:sz="6" w:space="0"/>
            </w:tcBorders>
            <w:vAlign w:val="center"/>
          </w:tcPr>
          <w:p>
            <w:pPr>
              <w:ind w:left="141" w:leftChars="67" w:right="176" w:rightChars="84"/>
              <w:rPr>
                <w:rFonts w:ascii="宋体" w:hAnsi="宋体"/>
                <w:color w:val="000000"/>
                <w:szCs w:val="21"/>
              </w:rPr>
            </w:pPr>
            <w:r>
              <w:rPr>
                <w:rFonts w:ascii="宋体" w:hAnsi="宋体"/>
                <w:color w:val="000000"/>
                <w:szCs w:val="21"/>
              </w:rPr>
              <w:t>3.</w:t>
            </w:r>
            <w:r>
              <w:rPr>
                <w:rFonts w:hint="eastAsia" w:ascii="宋体" w:hAnsi="宋体"/>
                <w:color w:val="000000"/>
                <w:szCs w:val="21"/>
              </w:rPr>
              <w:t>3</w:t>
            </w:r>
            <w:r>
              <w:rPr>
                <w:rFonts w:ascii="宋体" w:hAnsi="宋体"/>
                <w:color w:val="000000"/>
                <w:szCs w:val="21"/>
              </w:rPr>
              <w:t xml:space="preserve"> </w:t>
            </w:r>
            <w:r>
              <w:rPr>
                <w:rFonts w:hint="eastAsia" w:ascii="宋体" w:hAnsi="宋体"/>
                <w:color w:val="000000"/>
                <w:szCs w:val="21"/>
              </w:rPr>
              <w:t>征求意见阶段</w:t>
            </w:r>
          </w:p>
        </w:tc>
        <w:tc>
          <w:tcPr>
            <w:tcW w:w="7831" w:type="dxa"/>
            <w:gridSpan w:val="10"/>
            <w:tcBorders>
              <w:top w:val="single" w:color="auto" w:sz="4" w:space="0"/>
              <w:bottom w:val="single" w:color="auto" w:sz="6" w:space="0"/>
            </w:tcBorders>
            <w:vAlign w:val="center"/>
          </w:tcPr>
          <w:p>
            <w:pPr>
              <w:jc w:val="left"/>
              <w:rPr>
                <w:rFonts w:ascii="宋体" w:hAnsi="宋体"/>
                <w:color w:val="000000"/>
                <w:szCs w:val="21"/>
              </w:rPr>
            </w:pPr>
          </w:p>
          <w:p>
            <w:pPr>
              <w:pStyle w:val="18"/>
              <w:rPr>
                <w:rFonts w:ascii="宋体" w:hAnsi="宋体"/>
                <w:color w:val="FF0000"/>
              </w:rPr>
            </w:pPr>
          </w:p>
          <w:p>
            <w:pPr>
              <w:pStyle w:val="18"/>
              <w:rPr>
                <w:color w:val="FF0000"/>
              </w:rPr>
            </w:pPr>
          </w:p>
          <w:p>
            <w:pPr>
              <w:jc w:val="left"/>
              <w:rPr>
                <w:rFonts w:ascii="宋体" w:hAnsi="宋体"/>
                <w:color w:val="000000"/>
                <w:szCs w:val="21"/>
              </w:rPr>
            </w:pPr>
          </w:p>
          <w:p>
            <w:pPr>
              <w:jc w:val="left"/>
              <w:rPr>
                <w:rFonts w:ascii="宋体" w:hAnsi="宋体"/>
                <w:color w:val="000000"/>
                <w:szCs w:val="21"/>
              </w:rPr>
            </w:pPr>
          </w:p>
          <w:p>
            <w:pPr>
              <w:jc w:val="left"/>
              <w:rPr>
                <w:rFonts w:ascii="宋体" w:hAnsi="宋体"/>
                <w:color w:val="000000"/>
                <w:szCs w:val="21"/>
              </w:rPr>
            </w:pPr>
          </w:p>
          <w:p>
            <w:pPr>
              <w:jc w:val="left"/>
              <w:rPr>
                <w:rFonts w:ascii="宋体" w:hAnsi="宋体"/>
                <w:color w:val="000000"/>
                <w:szCs w:val="21"/>
              </w:rPr>
            </w:pPr>
          </w:p>
          <w:p>
            <w:pPr>
              <w:jc w:val="left"/>
              <w:rPr>
                <w:rFonts w:ascii="宋体" w:hAnsi="宋体"/>
                <w:color w:val="000000"/>
                <w:szCs w:val="21"/>
              </w:rPr>
            </w:pPr>
          </w:p>
          <w:p>
            <w:pPr>
              <w:jc w:val="left"/>
              <w:rPr>
                <w:rFonts w:ascii="宋体" w:hAnsi="宋体"/>
                <w:color w:val="000000"/>
                <w:szCs w:val="21"/>
              </w:rPr>
            </w:pPr>
          </w:p>
        </w:tc>
      </w:tr>
      <w:tr>
        <w:trPr>
          <w:cantSplit/>
          <w:trHeight w:val="1902" w:hRule="atLeast"/>
        </w:trPr>
        <w:tc>
          <w:tcPr>
            <w:tcW w:w="1794" w:type="dxa"/>
            <w:tcBorders>
              <w:top w:val="single" w:color="auto" w:sz="6" w:space="0"/>
              <w:bottom w:val="single" w:color="auto" w:sz="6" w:space="0"/>
            </w:tcBorders>
            <w:vAlign w:val="center"/>
          </w:tcPr>
          <w:p>
            <w:pPr>
              <w:ind w:left="141" w:leftChars="67" w:right="176" w:rightChars="84"/>
              <w:rPr>
                <w:rFonts w:ascii="宋体" w:hAnsi="宋体"/>
                <w:color w:val="000000"/>
                <w:szCs w:val="21"/>
              </w:rPr>
            </w:pPr>
            <w:r>
              <w:rPr>
                <w:rFonts w:ascii="宋体" w:hAnsi="宋体"/>
                <w:color w:val="000000"/>
                <w:szCs w:val="21"/>
              </w:rPr>
              <w:t>3.</w:t>
            </w:r>
            <w:r>
              <w:rPr>
                <w:rFonts w:hint="eastAsia" w:ascii="宋体" w:hAnsi="宋体"/>
                <w:color w:val="000000"/>
                <w:szCs w:val="21"/>
              </w:rPr>
              <w:t>4标准审定阶段</w:t>
            </w:r>
          </w:p>
        </w:tc>
        <w:tc>
          <w:tcPr>
            <w:tcW w:w="7831" w:type="dxa"/>
            <w:gridSpan w:val="10"/>
            <w:tcBorders>
              <w:top w:val="single" w:color="auto" w:sz="6" w:space="0"/>
              <w:bottom w:val="single" w:color="auto" w:sz="6" w:space="0"/>
            </w:tcBorders>
            <w:vAlign w:val="center"/>
          </w:tcPr>
          <w:p>
            <w:pPr>
              <w:jc w:val="left"/>
              <w:rPr>
                <w:rFonts w:ascii="宋体" w:hAnsi="宋体"/>
                <w:color w:val="000000"/>
                <w:szCs w:val="21"/>
              </w:rPr>
            </w:pPr>
          </w:p>
          <w:p>
            <w:pPr>
              <w:autoSpaceDE w:val="0"/>
              <w:autoSpaceDN w:val="0"/>
              <w:rPr>
                <w:rFonts w:ascii="宋体" w:hAnsi="宋体"/>
                <w:color w:val="000000"/>
                <w:szCs w:val="21"/>
              </w:rPr>
            </w:pPr>
          </w:p>
          <w:p>
            <w:pPr>
              <w:autoSpaceDE w:val="0"/>
              <w:autoSpaceDN w:val="0"/>
              <w:rPr>
                <w:rFonts w:ascii="宋体" w:hAnsi="宋体"/>
                <w:color w:val="000000"/>
                <w:szCs w:val="21"/>
              </w:rPr>
            </w:pPr>
          </w:p>
          <w:p>
            <w:pPr>
              <w:jc w:val="left"/>
              <w:rPr>
                <w:rFonts w:ascii="宋体" w:hAnsi="宋体"/>
                <w:color w:val="000000"/>
                <w:szCs w:val="21"/>
              </w:rPr>
            </w:pPr>
          </w:p>
          <w:p>
            <w:pPr>
              <w:jc w:val="left"/>
              <w:rPr>
                <w:rFonts w:ascii="宋体" w:hAnsi="宋体"/>
                <w:color w:val="000000"/>
                <w:szCs w:val="21"/>
              </w:rPr>
            </w:pPr>
          </w:p>
          <w:p>
            <w:pPr>
              <w:jc w:val="left"/>
              <w:rPr>
                <w:rFonts w:ascii="宋体" w:hAnsi="宋体"/>
                <w:color w:val="000000"/>
                <w:szCs w:val="21"/>
              </w:rPr>
            </w:pPr>
          </w:p>
          <w:p>
            <w:pPr>
              <w:jc w:val="left"/>
              <w:rPr>
                <w:rFonts w:ascii="宋体" w:hAnsi="宋体"/>
                <w:color w:val="000000"/>
                <w:szCs w:val="21"/>
              </w:rPr>
            </w:pPr>
          </w:p>
          <w:p>
            <w:pPr>
              <w:jc w:val="left"/>
              <w:rPr>
                <w:rFonts w:ascii="宋体" w:hAnsi="宋体"/>
                <w:color w:val="000000"/>
                <w:szCs w:val="21"/>
              </w:rPr>
            </w:pPr>
          </w:p>
          <w:p>
            <w:pPr>
              <w:jc w:val="left"/>
              <w:rPr>
                <w:rFonts w:ascii="宋体" w:hAnsi="宋体"/>
                <w:color w:val="000000"/>
                <w:szCs w:val="21"/>
              </w:rPr>
            </w:pPr>
          </w:p>
        </w:tc>
      </w:tr>
      <w:tr>
        <w:trPr>
          <w:cantSplit/>
          <w:trHeight w:val="577" w:hRule="atLeast"/>
        </w:trPr>
        <w:tc>
          <w:tcPr>
            <w:tcW w:w="9625" w:type="dxa"/>
            <w:gridSpan w:val="11"/>
            <w:tcBorders>
              <w:top w:val="single" w:color="auto" w:sz="6" w:space="0"/>
              <w:left w:val="nil"/>
              <w:bottom w:val="single" w:color="auto" w:sz="4" w:space="0"/>
              <w:right w:val="nil"/>
            </w:tcBorders>
            <w:vAlign w:val="center"/>
          </w:tcPr>
          <w:p>
            <w:pPr>
              <w:jc w:val="left"/>
              <w:rPr>
                <w:rFonts w:ascii="宋体" w:hAnsi="宋体"/>
                <w:color w:val="000000"/>
                <w:szCs w:val="21"/>
              </w:rPr>
            </w:pPr>
            <w:r>
              <w:rPr>
                <w:rFonts w:hint="eastAsia" w:ascii="宋体" w:hAnsi="宋体"/>
                <w:b/>
                <w:color w:val="000000"/>
                <w:szCs w:val="21"/>
              </w:rPr>
              <w:t>4  主要技术内容的确定</w:t>
            </w:r>
          </w:p>
        </w:tc>
      </w:tr>
      <w:tr>
        <w:trPr>
          <w:cantSplit/>
          <w:trHeight w:val="1407" w:hRule="atLeast"/>
        </w:trPr>
        <w:tc>
          <w:tcPr>
            <w:tcW w:w="9625" w:type="dxa"/>
            <w:gridSpan w:val="11"/>
            <w:tcBorders>
              <w:top w:val="single" w:color="auto" w:sz="4" w:space="0"/>
              <w:bottom w:val="single" w:color="auto" w:sz="4" w:space="0"/>
            </w:tcBorders>
            <w:vAlign w:val="center"/>
          </w:tcPr>
          <w:p>
            <w:pPr>
              <w:pStyle w:val="13"/>
              <w:ind w:left="360"/>
            </w:pPr>
            <w:r>
              <w:rPr>
                <w:rFonts w:hint="eastAsia"/>
              </w:rPr>
              <w:t>本标准按照GB/T 1.1-2009《标准话工作导则 第1部分：标准的结构和编写》进行编写，同等采用 IEC/ TS 62941：2016《地面光伏组件 光伏组件设计鉴定和定型质量保证导则</w:t>
            </w:r>
            <w:bookmarkStart w:id="0" w:name="_GoBack"/>
            <w:bookmarkEnd w:id="0"/>
            <w:r>
              <w:rPr>
                <w:rFonts w:hint="eastAsia"/>
              </w:rPr>
              <w:t>》，具体技术内容包括：</w:t>
            </w:r>
          </w:p>
          <w:p>
            <w:pPr>
              <w:pStyle w:val="13"/>
              <w:numPr>
                <w:ilvl w:val="0"/>
                <w:numId w:val="2"/>
              </w:numPr>
              <w:ind w:firstLineChars="0"/>
            </w:pPr>
            <w:r>
              <w:rPr>
                <w:rFonts w:hint="eastAsia"/>
              </w:rPr>
              <w:t>标准的框架包括七部分，包括：范围、规范性引用文件、术语和定义、文件要求、资源管理、产品实现与监视和测量。</w:t>
            </w:r>
          </w:p>
          <w:p>
            <w:pPr>
              <w:pStyle w:val="13"/>
              <w:numPr>
                <w:ilvl w:val="0"/>
                <w:numId w:val="2"/>
              </w:numPr>
              <w:ind w:firstLineChars="0"/>
              <w:rPr>
                <w:rFonts w:ascii="宋体" w:hAnsi="宋体"/>
                <w:szCs w:val="21"/>
              </w:rPr>
            </w:pPr>
            <w:r>
              <w:rPr>
                <w:rFonts w:hint="eastAsia" w:ascii="宋体" w:hAnsi="宋体"/>
                <w:szCs w:val="21"/>
              </w:rPr>
              <w:t>标准中的主要定义和术语包括：IEC TS 61836和ISO 9000：2005界定术语和定义、遏制措施、控制计划、顾客、设计寿命、设计失效模式和影响分析、定义，测量，分析，改进，控制、静电放电、失效模式和影响分析、关键材料、组织、开箱审核、失控措施计划、计划，实施，检查，处理、性能保证、过程失效模式和影响分析、产品生命周期管理、原型、质量管理体系、质量计划、重复性、再现性、统计能力、统计过程控制和供方。</w:t>
            </w:r>
          </w:p>
          <w:p>
            <w:pPr>
              <w:pStyle w:val="13"/>
              <w:numPr>
                <w:ilvl w:val="0"/>
                <w:numId w:val="2"/>
              </w:numPr>
              <w:ind w:firstLineChars="0"/>
              <w:rPr>
                <w:rFonts w:ascii="宋体" w:hAnsi="宋体"/>
                <w:szCs w:val="21"/>
              </w:rPr>
            </w:pPr>
            <w:r>
              <w:rPr>
                <w:rFonts w:hint="eastAsia" w:ascii="宋体" w:hAnsi="宋体"/>
                <w:szCs w:val="21"/>
              </w:rPr>
              <w:t>本标准中对加强光伏组件设计鉴定和定型的评估指南文件的要求包括：与设计、鉴定、工程变更、产品和生产过程的监视和测量、最终试验以及确保保修条件和组织规定需要的顾客详细信息相关的记录、组织确认的关键材料的符合性证书（CoC）和符合性分析证书（CoA）。</w:t>
            </w:r>
          </w:p>
          <w:p>
            <w:pPr>
              <w:pStyle w:val="13"/>
              <w:numPr>
                <w:ilvl w:val="0"/>
                <w:numId w:val="2"/>
              </w:numPr>
              <w:ind w:firstLineChars="0"/>
              <w:rPr>
                <w:rFonts w:ascii="宋体" w:hAnsi="宋体"/>
                <w:szCs w:val="21"/>
              </w:rPr>
            </w:pPr>
            <w:r>
              <w:rPr>
                <w:rFonts w:hint="eastAsia" w:ascii="宋体" w:hAnsi="宋体"/>
                <w:szCs w:val="21"/>
              </w:rPr>
              <w:t>产品质量保证体系的资源管理要求包括：基本的质量管理体系所需的资源规划和维持产品质量保证系统所需的资源，如：提供售后服务，识别产品失效原因以及其它适当的后续措施。</w:t>
            </w:r>
          </w:p>
          <w:p>
            <w:pPr>
              <w:pStyle w:val="13"/>
              <w:numPr>
                <w:ilvl w:val="0"/>
                <w:numId w:val="2"/>
              </w:numPr>
              <w:ind w:firstLineChars="0"/>
              <w:rPr>
                <w:rFonts w:ascii="宋体" w:hAnsi="宋体"/>
                <w:szCs w:val="21"/>
              </w:rPr>
            </w:pPr>
            <w:r>
              <w:rPr>
                <w:rFonts w:hint="eastAsia" w:ascii="宋体" w:hAnsi="宋体"/>
                <w:szCs w:val="21"/>
              </w:rPr>
              <w:t>产品实现，包括：通则、产品实现的策划、与产品有关的要求的确定、与产品相关要求的评审、顾客沟通、组织生产可行性、设计和开发、采购、生产和服务提供、监视和测量设备的控制。</w:t>
            </w:r>
          </w:p>
          <w:p>
            <w:pPr>
              <w:pStyle w:val="13"/>
              <w:numPr>
                <w:ilvl w:val="0"/>
                <w:numId w:val="2"/>
              </w:numPr>
              <w:ind w:firstLineChars="0"/>
              <w:rPr>
                <w:rFonts w:ascii="宋体" w:hAnsi="宋体"/>
                <w:szCs w:val="21"/>
              </w:rPr>
            </w:pPr>
            <w:r>
              <w:rPr>
                <w:rFonts w:hint="eastAsia" w:ascii="宋体" w:hAnsi="宋体"/>
                <w:szCs w:val="21"/>
              </w:rPr>
              <w:t>监视和测量，包括：顾客满意、制造过程的监视和测量、产品的监视和测量、持续产品监视、内部审核、不合格产品控制、持续改进和纠正预防措施。</w:t>
            </w:r>
          </w:p>
          <w:p>
            <w:pPr>
              <w:pStyle w:val="13"/>
              <w:ind w:left="1200" w:firstLine="0" w:firstLineChars="0"/>
              <w:rPr>
                <w:rFonts w:ascii="宋体" w:hAnsi="宋体"/>
                <w:szCs w:val="21"/>
              </w:rPr>
            </w:pPr>
          </w:p>
        </w:tc>
      </w:tr>
      <w:tr>
        <w:trPr>
          <w:cantSplit/>
          <w:trHeight w:val="837" w:hRule="atLeast"/>
        </w:trPr>
        <w:tc>
          <w:tcPr>
            <w:tcW w:w="9625" w:type="dxa"/>
            <w:gridSpan w:val="11"/>
            <w:tcBorders>
              <w:top w:val="single" w:color="auto" w:sz="4" w:space="0"/>
              <w:left w:val="nil"/>
              <w:bottom w:val="single" w:color="auto" w:sz="4" w:space="0"/>
              <w:right w:val="nil"/>
            </w:tcBorders>
            <w:vAlign w:val="center"/>
          </w:tcPr>
          <w:p>
            <w:pPr>
              <w:jc w:val="left"/>
              <w:rPr>
                <w:rFonts w:ascii="宋体" w:hAnsi="宋体"/>
                <w:color w:val="000000"/>
                <w:szCs w:val="21"/>
              </w:rPr>
            </w:pPr>
            <w:r>
              <w:rPr>
                <w:rFonts w:hint="eastAsia" w:ascii="宋体" w:hAnsi="宋体"/>
                <w:b/>
                <w:color w:val="000000"/>
                <w:szCs w:val="21"/>
              </w:rPr>
              <w:t>5  验证情况（适用于方法类标准）</w:t>
            </w:r>
          </w:p>
        </w:tc>
      </w:tr>
      <w:tr>
        <w:trPr>
          <w:cantSplit/>
          <w:trHeight w:val="385" w:hRule="atLeast"/>
        </w:trPr>
        <w:tc>
          <w:tcPr>
            <w:tcW w:w="2013" w:type="dxa"/>
            <w:gridSpan w:val="3"/>
            <w:vMerge w:val="restart"/>
            <w:tcBorders>
              <w:top w:val="single" w:color="auto" w:sz="4" w:space="0"/>
              <w:right w:val="single" w:color="auto" w:sz="4" w:space="0"/>
            </w:tcBorders>
            <w:vAlign w:val="center"/>
          </w:tcPr>
          <w:p>
            <w:pPr>
              <w:spacing w:beforeLines="50" w:afterLines="50"/>
              <w:jc w:val="left"/>
              <w:rPr>
                <w:rFonts w:ascii="宋体" w:hAnsi="宋体"/>
                <w:color w:val="000000"/>
                <w:szCs w:val="21"/>
              </w:rPr>
            </w:pPr>
            <w:r>
              <w:rPr>
                <w:rFonts w:ascii="宋体" w:hAnsi="宋体"/>
                <w:color w:val="000000"/>
                <w:szCs w:val="21"/>
              </w:rPr>
              <w:t>5.1 验证单位情况</w:t>
            </w:r>
          </w:p>
        </w:tc>
        <w:tc>
          <w:tcPr>
            <w:tcW w:w="2551" w:type="dxa"/>
            <w:gridSpan w:val="3"/>
            <w:tcBorders>
              <w:top w:val="single" w:color="auto" w:sz="4" w:space="0"/>
              <w:left w:val="single" w:color="auto" w:sz="4" w:space="0"/>
              <w:bottom w:val="single" w:color="auto" w:sz="4" w:space="0"/>
              <w:right w:val="single" w:color="auto" w:sz="4" w:space="0"/>
            </w:tcBorders>
            <w:vAlign w:val="center"/>
          </w:tcPr>
          <w:p>
            <w:pPr>
              <w:ind w:left="141" w:leftChars="67" w:right="48" w:rightChars="23"/>
              <w:jc w:val="center"/>
              <w:rPr>
                <w:rFonts w:ascii="宋体" w:hAnsi="宋体"/>
                <w:color w:val="000000"/>
                <w:szCs w:val="21"/>
              </w:rPr>
            </w:pPr>
            <w:r>
              <w:rPr>
                <w:rFonts w:ascii="宋体" w:hAnsi="宋体"/>
                <w:color w:val="000000"/>
                <w:szCs w:val="21"/>
              </w:rPr>
              <w:t>验证单位</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验证人员</w:t>
            </w:r>
          </w:p>
        </w:tc>
        <w:tc>
          <w:tcPr>
            <w:tcW w:w="2651" w:type="dxa"/>
            <w:gridSpan w:val="3"/>
            <w:tcBorders>
              <w:top w:val="single" w:color="auto" w:sz="4" w:space="0"/>
              <w:left w:val="single" w:color="auto" w:sz="4" w:space="0"/>
              <w:bottom w:val="single" w:color="auto" w:sz="4" w:space="0"/>
            </w:tcBorders>
            <w:vAlign w:val="center"/>
          </w:tcPr>
          <w:p>
            <w:pPr>
              <w:jc w:val="center"/>
              <w:rPr>
                <w:rFonts w:ascii="宋体" w:hAnsi="宋体"/>
                <w:color w:val="000000"/>
                <w:szCs w:val="21"/>
              </w:rPr>
            </w:pPr>
            <w:r>
              <w:rPr>
                <w:rFonts w:ascii="宋体" w:hAnsi="宋体"/>
                <w:color w:val="000000"/>
                <w:szCs w:val="21"/>
              </w:rPr>
              <w:t>验证时间</w:t>
            </w:r>
          </w:p>
        </w:tc>
      </w:tr>
      <w:tr>
        <w:trPr>
          <w:cantSplit/>
          <w:trHeight w:val="526" w:hRule="atLeast"/>
        </w:trPr>
        <w:tc>
          <w:tcPr>
            <w:tcW w:w="2013" w:type="dxa"/>
            <w:gridSpan w:val="3"/>
            <w:vMerge w:val="continue"/>
            <w:tcBorders>
              <w:right w:val="single" w:color="auto" w:sz="4" w:space="0"/>
            </w:tcBorders>
            <w:vAlign w:val="center"/>
          </w:tcPr>
          <w:p>
            <w:pPr>
              <w:pStyle w:val="13"/>
              <w:ind w:left="360" w:firstLine="0" w:firstLineChars="0"/>
              <w:rPr>
                <w:rFonts w:ascii="宋体" w:hAnsi="宋体"/>
                <w:color w:val="000000"/>
                <w:szCs w:val="21"/>
              </w:rPr>
            </w:pPr>
          </w:p>
        </w:tc>
        <w:tc>
          <w:tcPr>
            <w:tcW w:w="2551" w:type="dxa"/>
            <w:gridSpan w:val="3"/>
            <w:tcBorders>
              <w:top w:val="single" w:color="auto" w:sz="4" w:space="0"/>
              <w:left w:val="single" w:color="auto" w:sz="4" w:space="0"/>
              <w:bottom w:val="single" w:color="auto" w:sz="4" w:space="0"/>
              <w:right w:val="single" w:color="auto" w:sz="4" w:space="0"/>
            </w:tcBorders>
            <w:vAlign w:val="center"/>
          </w:tcPr>
          <w:p>
            <w:pPr>
              <w:ind w:left="141" w:leftChars="67" w:right="48" w:rightChars="23"/>
              <w:jc w:val="center"/>
              <w:rPr>
                <w:rFonts w:ascii="宋体" w:hAnsi="宋体"/>
                <w:color w:val="000000"/>
                <w:szCs w:val="21"/>
              </w:rPr>
            </w:pPr>
          </w:p>
        </w:tc>
        <w:tc>
          <w:tcPr>
            <w:tcW w:w="241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p>
        </w:tc>
        <w:tc>
          <w:tcPr>
            <w:tcW w:w="2651" w:type="dxa"/>
            <w:gridSpan w:val="3"/>
            <w:tcBorders>
              <w:top w:val="single" w:color="auto" w:sz="4" w:space="0"/>
              <w:left w:val="single" w:color="auto" w:sz="4" w:space="0"/>
              <w:bottom w:val="single" w:color="auto" w:sz="4" w:space="0"/>
            </w:tcBorders>
            <w:vAlign w:val="center"/>
          </w:tcPr>
          <w:p>
            <w:pPr>
              <w:wordWrap w:val="0"/>
              <w:jc w:val="right"/>
              <w:rPr>
                <w:rFonts w:ascii="宋体" w:hAnsi="宋体"/>
                <w:color w:val="000000"/>
                <w:szCs w:val="21"/>
              </w:rPr>
            </w:pPr>
            <w:r>
              <w:rPr>
                <w:rFonts w:ascii="宋体" w:hAnsi="宋体"/>
                <w:color w:val="000000"/>
                <w:szCs w:val="21"/>
              </w:rPr>
              <w:t xml:space="preserve"> 年    月   日</w:t>
            </w:r>
          </w:p>
        </w:tc>
      </w:tr>
      <w:tr>
        <w:trPr>
          <w:cantSplit/>
          <w:trHeight w:val="529" w:hRule="atLeast"/>
        </w:trPr>
        <w:tc>
          <w:tcPr>
            <w:tcW w:w="2013" w:type="dxa"/>
            <w:gridSpan w:val="3"/>
            <w:vMerge w:val="continue"/>
            <w:tcBorders>
              <w:right w:val="single" w:color="auto" w:sz="4" w:space="0"/>
            </w:tcBorders>
            <w:vAlign w:val="center"/>
          </w:tcPr>
          <w:p>
            <w:pPr>
              <w:pStyle w:val="13"/>
              <w:ind w:left="360" w:firstLine="0" w:firstLineChars="0"/>
              <w:rPr>
                <w:rFonts w:ascii="宋体" w:hAnsi="宋体"/>
                <w:color w:val="000000"/>
                <w:szCs w:val="21"/>
              </w:rPr>
            </w:pPr>
          </w:p>
        </w:tc>
        <w:tc>
          <w:tcPr>
            <w:tcW w:w="2551" w:type="dxa"/>
            <w:gridSpan w:val="3"/>
            <w:tcBorders>
              <w:top w:val="single" w:color="auto" w:sz="4" w:space="0"/>
              <w:left w:val="single" w:color="auto" w:sz="4" w:space="0"/>
              <w:bottom w:val="single" w:color="auto" w:sz="4" w:space="0"/>
              <w:right w:val="single" w:color="auto" w:sz="4" w:space="0"/>
            </w:tcBorders>
            <w:vAlign w:val="center"/>
          </w:tcPr>
          <w:p>
            <w:pPr>
              <w:ind w:left="141" w:leftChars="67" w:right="48" w:rightChars="23"/>
              <w:jc w:val="center"/>
              <w:rPr>
                <w:rFonts w:ascii="宋体" w:hAnsi="宋体"/>
                <w:color w:val="000000"/>
                <w:szCs w:val="21"/>
              </w:rPr>
            </w:pPr>
          </w:p>
        </w:tc>
        <w:tc>
          <w:tcPr>
            <w:tcW w:w="241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p>
        </w:tc>
        <w:tc>
          <w:tcPr>
            <w:tcW w:w="2651" w:type="dxa"/>
            <w:gridSpan w:val="3"/>
            <w:tcBorders>
              <w:top w:val="single" w:color="auto" w:sz="4" w:space="0"/>
              <w:left w:val="single" w:color="auto" w:sz="4" w:space="0"/>
              <w:bottom w:val="single" w:color="auto" w:sz="4" w:space="0"/>
            </w:tcBorders>
            <w:vAlign w:val="top"/>
          </w:tcPr>
          <w:p>
            <w:pPr>
              <w:jc w:val="right"/>
              <w:rPr>
                <w:rFonts w:ascii="宋体" w:hAnsi="宋体"/>
                <w:color w:val="000000"/>
                <w:szCs w:val="21"/>
              </w:rPr>
            </w:pPr>
            <w:r>
              <w:rPr>
                <w:rFonts w:ascii="宋体" w:hAnsi="宋体"/>
                <w:color w:val="000000"/>
                <w:szCs w:val="21"/>
              </w:rPr>
              <w:t>年    月   日</w:t>
            </w:r>
          </w:p>
        </w:tc>
      </w:tr>
      <w:tr>
        <w:trPr>
          <w:cantSplit/>
          <w:trHeight w:val="378" w:hRule="atLeast"/>
        </w:trPr>
        <w:tc>
          <w:tcPr>
            <w:tcW w:w="2013" w:type="dxa"/>
            <w:gridSpan w:val="3"/>
            <w:vMerge w:val="continue"/>
            <w:tcBorders>
              <w:right w:val="single" w:color="auto" w:sz="4" w:space="0"/>
            </w:tcBorders>
            <w:vAlign w:val="center"/>
          </w:tcPr>
          <w:p>
            <w:pPr>
              <w:pStyle w:val="13"/>
              <w:ind w:left="360" w:firstLine="0" w:firstLineChars="0"/>
              <w:rPr>
                <w:rFonts w:ascii="宋体" w:hAnsi="宋体"/>
                <w:color w:val="000000"/>
                <w:szCs w:val="21"/>
              </w:rPr>
            </w:pPr>
          </w:p>
        </w:tc>
        <w:tc>
          <w:tcPr>
            <w:tcW w:w="2551" w:type="dxa"/>
            <w:gridSpan w:val="3"/>
            <w:tcBorders>
              <w:top w:val="single" w:color="auto" w:sz="4" w:space="0"/>
              <w:left w:val="single" w:color="auto" w:sz="4" w:space="0"/>
              <w:bottom w:val="single" w:color="auto" w:sz="4" w:space="0"/>
              <w:right w:val="single" w:color="auto" w:sz="4" w:space="0"/>
            </w:tcBorders>
            <w:vAlign w:val="center"/>
          </w:tcPr>
          <w:p>
            <w:pPr>
              <w:ind w:left="141" w:leftChars="67" w:right="48" w:rightChars="23"/>
              <w:jc w:val="center"/>
              <w:rPr>
                <w:rFonts w:ascii="宋体" w:hAnsi="宋体"/>
                <w:color w:val="000000"/>
                <w:szCs w:val="21"/>
              </w:rPr>
            </w:pPr>
          </w:p>
        </w:tc>
        <w:tc>
          <w:tcPr>
            <w:tcW w:w="241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p>
        </w:tc>
        <w:tc>
          <w:tcPr>
            <w:tcW w:w="2651" w:type="dxa"/>
            <w:gridSpan w:val="3"/>
            <w:tcBorders>
              <w:top w:val="single" w:color="auto" w:sz="4" w:space="0"/>
              <w:left w:val="single" w:color="auto" w:sz="4" w:space="0"/>
              <w:bottom w:val="single" w:color="auto" w:sz="4" w:space="0"/>
            </w:tcBorders>
            <w:vAlign w:val="top"/>
          </w:tcPr>
          <w:p>
            <w:pPr>
              <w:jc w:val="right"/>
              <w:rPr>
                <w:rFonts w:ascii="宋体" w:hAnsi="宋体"/>
                <w:color w:val="000000"/>
                <w:szCs w:val="21"/>
              </w:rPr>
            </w:pPr>
            <w:r>
              <w:rPr>
                <w:rFonts w:ascii="宋体" w:hAnsi="宋体"/>
                <w:color w:val="000000"/>
                <w:szCs w:val="21"/>
              </w:rPr>
              <w:t>年    月   日</w:t>
            </w:r>
          </w:p>
        </w:tc>
      </w:tr>
      <w:tr>
        <w:trPr>
          <w:cantSplit/>
          <w:trHeight w:val="524" w:hRule="atLeast"/>
        </w:trPr>
        <w:tc>
          <w:tcPr>
            <w:tcW w:w="2013" w:type="dxa"/>
            <w:gridSpan w:val="3"/>
            <w:vMerge w:val="continue"/>
            <w:tcBorders>
              <w:right w:val="single" w:color="auto" w:sz="4" w:space="0"/>
            </w:tcBorders>
            <w:vAlign w:val="center"/>
          </w:tcPr>
          <w:p>
            <w:pPr>
              <w:pStyle w:val="13"/>
              <w:ind w:left="360" w:firstLine="0" w:firstLineChars="0"/>
              <w:rPr>
                <w:rFonts w:ascii="宋体" w:hAnsi="宋体"/>
                <w:color w:val="000000"/>
                <w:szCs w:val="21"/>
              </w:rPr>
            </w:pPr>
          </w:p>
        </w:tc>
        <w:tc>
          <w:tcPr>
            <w:tcW w:w="2551" w:type="dxa"/>
            <w:gridSpan w:val="3"/>
            <w:tcBorders>
              <w:top w:val="single" w:color="auto" w:sz="4" w:space="0"/>
              <w:left w:val="single" w:color="auto" w:sz="4" w:space="0"/>
              <w:bottom w:val="single" w:color="auto" w:sz="4" w:space="0"/>
              <w:right w:val="single" w:color="auto" w:sz="4" w:space="0"/>
            </w:tcBorders>
            <w:vAlign w:val="center"/>
          </w:tcPr>
          <w:p>
            <w:pPr>
              <w:ind w:left="141" w:leftChars="67" w:right="48" w:rightChars="23"/>
              <w:jc w:val="center"/>
              <w:rPr>
                <w:rFonts w:ascii="宋体" w:hAnsi="宋体"/>
                <w:color w:val="000000"/>
                <w:szCs w:val="21"/>
              </w:rPr>
            </w:pPr>
          </w:p>
        </w:tc>
        <w:tc>
          <w:tcPr>
            <w:tcW w:w="241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p>
        </w:tc>
        <w:tc>
          <w:tcPr>
            <w:tcW w:w="2651" w:type="dxa"/>
            <w:gridSpan w:val="3"/>
            <w:tcBorders>
              <w:top w:val="single" w:color="auto" w:sz="4" w:space="0"/>
              <w:left w:val="single" w:color="auto" w:sz="4" w:space="0"/>
              <w:bottom w:val="single" w:color="auto" w:sz="4" w:space="0"/>
            </w:tcBorders>
            <w:vAlign w:val="top"/>
          </w:tcPr>
          <w:p>
            <w:pPr>
              <w:jc w:val="right"/>
              <w:rPr>
                <w:rFonts w:ascii="宋体" w:hAnsi="宋体"/>
                <w:color w:val="000000"/>
                <w:szCs w:val="21"/>
              </w:rPr>
            </w:pPr>
            <w:r>
              <w:rPr>
                <w:rFonts w:ascii="宋体" w:hAnsi="宋体"/>
                <w:color w:val="000000"/>
                <w:szCs w:val="21"/>
              </w:rPr>
              <w:t>年    月   日</w:t>
            </w:r>
          </w:p>
        </w:tc>
      </w:tr>
      <w:tr>
        <w:trPr>
          <w:cantSplit/>
          <w:trHeight w:val="500" w:hRule="atLeast"/>
        </w:trPr>
        <w:tc>
          <w:tcPr>
            <w:tcW w:w="2013" w:type="dxa"/>
            <w:gridSpan w:val="3"/>
            <w:tcBorders>
              <w:bottom w:val="single" w:color="auto" w:sz="6"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5.2 验证过程</w:t>
            </w:r>
          </w:p>
        </w:tc>
        <w:tc>
          <w:tcPr>
            <w:tcW w:w="2551" w:type="dxa"/>
            <w:gridSpan w:val="3"/>
            <w:tcBorders>
              <w:top w:val="single" w:color="auto" w:sz="4" w:space="0"/>
              <w:left w:val="single" w:color="auto" w:sz="4" w:space="0"/>
              <w:bottom w:val="single" w:color="auto" w:sz="6" w:space="0"/>
              <w:right w:val="single" w:color="auto" w:sz="4" w:space="0"/>
            </w:tcBorders>
            <w:vAlign w:val="center"/>
          </w:tcPr>
          <w:p>
            <w:pPr>
              <w:ind w:left="141" w:leftChars="67" w:right="48" w:rightChars="23"/>
              <w:jc w:val="center"/>
              <w:rPr>
                <w:rFonts w:ascii="宋体" w:hAnsi="宋体"/>
                <w:color w:val="000000"/>
                <w:szCs w:val="21"/>
              </w:rPr>
            </w:pPr>
          </w:p>
        </w:tc>
        <w:tc>
          <w:tcPr>
            <w:tcW w:w="2410" w:type="dxa"/>
            <w:gridSpan w:val="2"/>
            <w:tcBorders>
              <w:top w:val="single" w:color="auto" w:sz="4" w:space="0"/>
              <w:left w:val="single" w:color="auto" w:sz="4" w:space="0"/>
              <w:bottom w:val="single" w:color="auto" w:sz="6" w:space="0"/>
              <w:right w:val="single" w:color="auto" w:sz="4" w:space="0"/>
            </w:tcBorders>
            <w:vAlign w:val="center"/>
          </w:tcPr>
          <w:p>
            <w:pPr>
              <w:jc w:val="center"/>
              <w:rPr>
                <w:rFonts w:ascii="宋体" w:hAnsi="宋体"/>
                <w:color w:val="000000"/>
                <w:szCs w:val="21"/>
              </w:rPr>
            </w:pPr>
          </w:p>
        </w:tc>
        <w:tc>
          <w:tcPr>
            <w:tcW w:w="2651" w:type="dxa"/>
            <w:gridSpan w:val="3"/>
            <w:tcBorders>
              <w:top w:val="single" w:color="auto" w:sz="4" w:space="0"/>
              <w:left w:val="single" w:color="auto" w:sz="4" w:space="0"/>
              <w:bottom w:val="single" w:color="auto" w:sz="6" w:space="0"/>
            </w:tcBorders>
            <w:vAlign w:val="top"/>
          </w:tcPr>
          <w:p>
            <w:pPr>
              <w:jc w:val="right"/>
              <w:rPr>
                <w:rFonts w:ascii="宋体" w:hAnsi="宋体"/>
                <w:color w:val="000000"/>
                <w:szCs w:val="21"/>
              </w:rPr>
            </w:pPr>
          </w:p>
        </w:tc>
      </w:tr>
      <w:tr>
        <w:trPr>
          <w:cantSplit/>
          <w:trHeight w:val="362" w:hRule="atLeast"/>
        </w:trPr>
        <w:tc>
          <w:tcPr>
            <w:tcW w:w="2013" w:type="dxa"/>
            <w:gridSpan w:val="3"/>
            <w:tcBorders>
              <w:bottom w:val="single" w:color="auto" w:sz="6"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5.3 验证数据分析</w:t>
            </w:r>
          </w:p>
        </w:tc>
        <w:tc>
          <w:tcPr>
            <w:tcW w:w="2551" w:type="dxa"/>
            <w:gridSpan w:val="3"/>
            <w:tcBorders>
              <w:top w:val="single" w:color="auto" w:sz="4" w:space="0"/>
              <w:left w:val="single" w:color="auto" w:sz="4" w:space="0"/>
              <w:bottom w:val="single" w:color="auto" w:sz="6" w:space="0"/>
              <w:right w:val="single" w:color="auto" w:sz="4" w:space="0"/>
            </w:tcBorders>
            <w:vAlign w:val="center"/>
          </w:tcPr>
          <w:p>
            <w:pPr>
              <w:ind w:left="141" w:leftChars="67" w:right="48" w:rightChars="23"/>
              <w:jc w:val="center"/>
              <w:rPr>
                <w:rFonts w:ascii="宋体" w:hAnsi="宋体"/>
                <w:color w:val="000000"/>
                <w:szCs w:val="21"/>
              </w:rPr>
            </w:pPr>
          </w:p>
        </w:tc>
        <w:tc>
          <w:tcPr>
            <w:tcW w:w="2410" w:type="dxa"/>
            <w:gridSpan w:val="2"/>
            <w:tcBorders>
              <w:top w:val="single" w:color="auto" w:sz="4" w:space="0"/>
              <w:left w:val="single" w:color="auto" w:sz="4" w:space="0"/>
              <w:bottom w:val="single" w:color="auto" w:sz="6" w:space="0"/>
              <w:right w:val="single" w:color="auto" w:sz="4" w:space="0"/>
            </w:tcBorders>
            <w:vAlign w:val="center"/>
          </w:tcPr>
          <w:p>
            <w:pPr>
              <w:jc w:val="center"/>
              <w:rPr>
                <w:rFonts w:ascii="宋体" w:hAnsi="宋体"/>
                <w:color w:val="000000"/>
                <w:szCs w:val="21"/>
              </w:rPr>
            </w:pPr>
          </w:p>
        </w:tc>
        <w:tc>
          <w:tcPr>
            <w:tcW w:w="2651" w:type="dxa"/>
            <w:gridSpan w:val="3"/>
            <w:tcBorders>
              <w:top w:val="single" w:color="auto" w:sz="4" w:space="0"/>
              <w:left w:val="single" w:color="auto" w:sz="4" w:space="0"/>
              <w:bottom w:val="single" w:color="auto" w:sz="6" w:space="0"/>
            </w:tcBorders>
            <w:vAlign w:val="top"/>
          </w:tcPr>
          <w:p>
            <w:pPr>
              <w:jc w:val="right"/>
              <w:rPr>
                <w:rFonts w:ascii="宋体" w:hAnsi="宋体"/>
                <w:color w:val="000000"/>
                <w:szCs w:val="21"/>
              </w:rPr>
            </w:pPr>
          </w:p>
        </w:tc>
      </w:tr>
      <w:tr>
        <w:trPr>
          <w:cantSplit/>
          <w:trHeight w:val="508" w:hRule="atLeast"/>
        </w:trPr>
        <w:tc>
          <w:tcPr>
            <w:tcW w:w="2013" w:type="dxa"/>
            <w:gridSpan w:val="3"/>
            <w:tcBorders>
              <w:bottom w:val="single" w:color="auto" w:sz="6"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5.4 验证评价</w:t>
            </w:r>
          </w:p>
        </w:tc>
        <w:tc>
          <w:tcPr>
            <w:tcW w:w="2551" w:type="dxa"/>
            <w:gridSpan w:val="3"/>
            <w:tcBorders>
              <w:top w:val="single" w:color="auto" w:sz="4" w:space="0"/>
              <w:left w:val="single" w:color="auto" w:sz="4" w:space="0"/>
              <w:bottom w:val="single" w:color="auto" w:sz="6" w:space="0"/>
              <w:right w:val="single" w:color="auto" w:sz="4" w:space="0"/>
            </w:tcBorders>
            <w:vAlign w:val="center"/>
          </w:tcPr>
          <w:p>
            <w:pPr>
              <w:ind w:left="141" w:leftChars="67" w:right="48" w:rightChars="23"/>
              <w:jc w:val="center"/>
              <w:rPr>
                <w:rFonts w:ascii="宋体" w:hAnsi="宋体"/>
                <w:color w:val="000000"/>
                <w:szCs w:val="21"/>
              </w:rPr>
            </w:pPr>
          </w:p>
        </w:tc>
        <w:tc>
          <w:tcPr>
            <w:tcW w:w="2410" w:type="dxa"/>
            <w:gridSpan w:val="2"/>
            <w:tcBorders>
              <w:top w:val="single" w:color="auto" w:sz="4" w:space="0"/>
              <w:left w:val="single" w:color="auto" w:sz="4" w:space="0"/>
              <w:bottom w:val="single" w:color="auto" w:sz="6" w:space="0"/>
              <w:right w:val="single" w:color="auto" w:sz="4" w:space="0"/>
            </w:tcBorders>
            <w:vAlign w:val="center"/>
          </w:tcPr>
          <w:p>
            <w:pPr>
              <w:jc w:val="center"/>
              <w:rPr>
                <w:rFonts w:ascii="宋体" w:hAnsi="宋体"/>
                <w:color w:val="000000"/>
                <w:szCs w:val="21"/>
              </w:rPr>
            </w:pPr>
          </w:p>
        </w:tc>
        <w:tc>
          <w:tcPr>
            <w:tcW w:w="2651" w:type="dxa"/>
            <w:gridSpan w:val="3"/>
            <w:tcBorders>
              <w:top w:val="single" w:color="auto" w:sz="4" w:space="0"/>
              <w:left w:val="single" w:color="auto" w:sz="4" w:space="0"/>
              <w:bottom w:val="single" w:color="auto" w:sz="6" w:space="0"/>
            </w:tcBorders>
            <w:vAlign w:val="top"/>
          </w:tcPr>
          <w:p>
            <w:pPr>
              <w:jc w:val="right"/>
              <w:rPr>
                <w:rFonts w:ascii="宋体" w:hAnsi="宋体"/>
                <w:color w:val="000000"/>
                <w:szCs w:val="21"/>
              </w:rPr>
            </w:pPr>
          </w:p>
        </w:tc>
      </w:tr>
      <w:tr>
        <w:trPr>
          <w:cantSplit/>
          <w:trHeight w:val="639" w:hRule="atLeast"/>
        </w:trPr>
        <w:tc>
          <w:tcPr>
            <w:tcW w:w="2013" w:type="dxa"/>
            <w:gridSpan w:val="3"/>
            <w:tcBorders>
              <w:bottom w:val="single" w:color="auto" w:sz="6"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5.5 其他应说明的情况</w:t>
            </w:r>
          </w:p>
        </w:tc>
        <w:tc>
          <w:tcPr>
            <w:tcW w:w="2551" w:type="dxa"/>
            <w:gridSpan w:val="3"/>
            <w:tcBorders>
              <w:top w:val="single" w:color="auto" w:sz="4" w:space="0"/>
              <w:left w:val="single" w:color="auto" w:sz="4" w:space="0"/>
              <w:bottom w:val="single" w:color="auto" w:sz="6" w:space="0"/>
              <w:right w:val="single" w:color="auto" w:sz="4" w:space="0"/>
            </w:tcBorders>
            <w:vAlign w:val="center"/>
          </w:tcPr>
          <w:p>
            <w:pPr>
              <w:ind w:left="141" w:leftChars="67" w:right="48" w:rightChars="23"/>
              <w:jc w:val="center"/>
              <w:rPr>
                <w:rFonts w:ascii="宋体" w:hAnsi="宋体"/>
                <w:color w:val="000000"/>
                <w:szCs w:val="21"/>
              </w:rPr>
            </w:pPr>
          </w:p>
        </w:tc>
        <w:tc>
          <w:tcPr>
            <w:tcW w:w="2410" w:type="dxa"/>
            <w:gridSpan w:val="2"/>
            <w:tcBorders>
              <w:top w:val="single" w:color="auto" w:sz="4" w:space="0"/>
              <w:left w:val="single" w:color="auto" w:sz="4" w:space="0"/>
              <w:bottom w:val="single" w:color="auto" w:sz="6" w:space="0"/>
              <w:right w:val="single" w:color="auto" w:sz="4" w:space="0"/>
            </w:tcBorders>
            <w:vAlign w:val="center"/>
          </w:tcPr>
          <w:p>
            <w:pPr>
              <w:jc w:val="center"/>
              <w:rPr>
                <w:rFonts w:ascii="宋体" w:hAnsi="宋体"/>
                <w:color w:val="000000"/>
                <w:szCs w:val="21"/>
              </w:rPr>
            </w:pPr>
          </w:p>
        </w:tc>
        <w:tc>
          <w:tcPr>
            <w:tcW w:w="2651" w:type="dxa"/>
            <w:gridSpan w:val="3"/>
            <w:tcBorders>
              <w:top w:val="single" w:color="auto" w:sz="4" w:space="0"/>
              <w:left w:val="single" w:color="auto" w:sz="4" w:space="0"/>
              <w:bottom w:val="single" w:color="auto" w:sz="6" w:space="0"/>
            </w:tcBorders>
            <w:vAlign w:val="top"/>
          </w:tcPr>
          <w:p>
            <w:pPr>
              <w:jc w:val="right"/>
              <w:rPr>
                <w:rFonts w:ascii="宋体" w:hAnsi="宋体"/>
                <w:color w:val="000000"/>
                <w:szCs w:val="21"/>
              </w:rPr>
            </w:pPr>
          </w:p>
        </w:tc>
      </w:tr>
      <w:tr>
        <w:trPr>
          <w:cantSplit/>
          <w:trHeight w:val="458" w:hRule="atLeast"/>
        </w:trPr>
        <w:tc>
          <w:tcPr>
            <w:tcW w:w="9625" w:type="dxa"/>
            <w:gridSpan w:val="11"/>
            <w:tcBorders>
              <w:top w:val="nil"/>
              <w:left w:val="nil"/>
              <w:bottom w:val="nil"/>
              <w:right w:val="nil"/>
            </w:tcBorders>
            <w:vAlign w:val="center"/>
          </w:tcPr>
          <w:p>
            <w:pPr>
              <w:rPr>
                <w:rFonts w:ascii="宋体" w:hAnsi="宋体"/>
                <w:b/>
                <w:color w:val="000000"/>
                <w:szCs w:val="21"/>
              </w:rPr>
            </w:pPr>
          </w:p>
          <w:p>
            <w:pPr>
              <w:rPr>
                <w:rFonts w:ascii="宋体" w:hAnsi="宋体"/>
                <w:b/>
                <w:color w:val="000000"/>
                <w:szCs w:val="21"/>
              </w:rPr>
            </w:pPr>
            <w:r>
              <w:rPr>
                <w:rFonts w:hint="eastAsia" w:ascii="宋体" w:hAnsi="宋体"/>
                <w:b/>
                <w:color w:val="000000"/>
                <w:szCs w:val="21"/>
              </w:rPr>
              <w:t>6  附加说明（可选项）</w:t>
            </w:r>
          </w:p>
        </w:tc>
      </w:tr>
      <w:tr>
        <w:trPr>
          <w:cantSplit/>
          <w:trHeight w:val="952"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6.1 宣贯标准的建议</w:t>
            </w:r>
          </w:p>
        </w:tc>
        <w:tc>
          <w:tcPr>
            <w:tcW w:w="7831" w:type="dxa"/>
            <w:gridSpan w:val="10"/>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建议对有意</w:t>
            </w:r>
            <w:r>
              <w:rPr>
                <w:rFonts w:hint="eastAsia" w:ascii="宋体" w:hAnsi="宋体"/>
                <w:color w:val="000000"/>
                <w:szCs w:val="21"/>
              </w:rPr>
              <w:t>从事光伏组件设计鉴定和定型评估</w:t>
            </w:r>
            <w:r>
              <w:rPr>
                <w:rFonts w:ascii="宋体" w:hAnsi="宋体"/>
                <w:color w:val="000000"/>
                <w:szCs w:val="21"/>
              </w:rPr>
              <w:t>的产品认证机构开展宣贯</w:t>
            </w:r>
            <w:r>
              <w:rPr>
                <w:rFonts w:hint="eastAsia" w:ascii="宋体" w:hAnsi="宋体"/>
                <w:color w:val="000000"/>
                <w:szCs w:val="21"/>
              </w:rPr>
              <w:t>。</w:t>
            </w:r>
          </w:p>
        </w:tc>
      </w:tr>
      <w:tr>
        <w:trPr>
          <w:cantSplit/>
          <w:trHeight w:val="978"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6.2 修订和废除现行有关标准的建议</w:t>
            </w:r>
          </w:p>
        </w:tc>
        <w:tc>
          <w:tcPr>
            <w:tcW w:w="7831" w:type="dxa"/>
            <w:gridSpan w:val="10"/>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无</w:t>
            </w:r>
          </w:p>
        </w:tc>
      </w:tr>
      <w:tr>
        <w:trPr>
          <w:cantSplit/>
          <w:trHeight w:val="1134"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w:t>
            </w:r>
            <w:r>
              <w:rPr>
                <w:rFonts w:hint="eastAsia" w:ascii="宋体" w:hAnsi="宋体"/>
                <w:color w:val="000000"/>
                <w:szCs w:val="21"/>
              </w:rPr>
              <w:t>3</w:t>
            </w:r>
            <w:r>
              <w:rPr>
                <w:rFonts w:ascii="宋体" w:hAnsi="宋体"/>
                <w:color w:val="000000"/>
                <w:szCs w:val="21"/>
              </w:rPr>
              <w:t xml:space="preserve"> </w:t>
            </w:r>
            <w:r>
              <w:rPr>
                <w:rFonts w:hint="eastAsia" w:ascii="宋体" w:hAnsi="宋体"/>
                <w:color w:val="000000"/>
                <w:szCs w:val="21"/>
              </w:rPr>
              <w:t>重大分歧意见的处理经过和依据</w:t>
            </w:r>
          </w:p>
        </w:tc>
        <w:tc>
          <w:tcPr>
            <w:tcW w:w="7831" w:type="dxa"/>
            <w:gridSpan w:val="10"/>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无重大分歧</w:t>
            </w:r>
          </w:p>
        </w:tc>
      </w:tr>
      <w:tr>
        <w:trPr>
          <w:cantSplit/>
          <w:trHeight w:val="1411"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szCs w:val="21"/>
              </w:rPr>
            </w:pPr>
            <w:r>
              <w:rPr>
                <w:rFonts w:ascii="宋体" w:hAnsi="宋体"/>
                <w:szCs w:val="21"/>
              </w:rPr>
              <w:t>6.4 其他需要说明的情况</w:t>
            </w:r>
          </w:p>
        </w:tc>
        <w:tc>
          <w:tcPr>
            <w:tcW w:w="7831" w:type="dxa"/>
            <w:gridSpan w:val="10"/>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关于标准试行情况的说明：</w:t>
            </w:r>
          </w:p>
          <w:p>
            <w:pPr>
              <w:ind w:firstLine="420" w:firstLineChars="200"/>
              <w:rPr>
                <w:rFonts w:hint="eastAsia" w:ascii="宋体" w:hAnsi="宋体"/>
                <w:szCs w:val="21"/>
              </w:rPr>
            </w:pPr>
            <w:r>
              <w:rPr>
                <w:rFonts w:hint="eastAsia" w:ascii="宋体" w:hAnsi="宋体"/>
                <w:szCs w:val="21"/>
              </w:rPr>
              <w:t>此标准项目在立项前期已在实施组内部对光伏组件设计鉴定和定型的评估结果</w:t>
            </w:r>
          </w:p>
          <w:p>
            <w:pPr>
              <w:rPr>
                <w:rFonts w:ascii="宋体" w:hAnsi="宋体"/>
                <w:szCs w:val="21"/>
              </w:rPr>
            </w:pPr>
            <w:r>
              <w:rPr>
                <w:rFonts w:hint="eastAsia" w:ascii="宋体" w:hAnsi="宋体"/>
                <w:szCs w:val="21"/>
              </w:rPr>
              <w:t xml:space="preserve">的接受层级及要求进行讨论和意见征询，广泛吸收了各相关方尤其是行业主管部门和众多组件厂家的意见和建议，有普遍共识，具有较强的操作性和指导意义。 </w:t>
            </w:r>
          </w:p>
          <w:p>
            <w:pPr>
              <w:rPr>
                <w:rFonts w:ascii="宋体" w:hAnsi="宋体"/>
                <w:szCs w:val="21"/>
              </w:rPr>
            </w:pPr>
            <w:r>
              <w:rPr>
                <w:rFonts w:hint="eastAsia" w:ascii="宋体" w:hAnsi="宋体"/>
                <w:szCs w:val="21"/>
              </w:rPr>
              <w:t xml:space="preserve">    在标准编制过程中主要框架和相关内容均参考国际标准IEC/TS</w:t>
            </w:r>
            <w:r>
              <w:rPr>
                <w:rFonts w:ascii="宋体" w:hAnsi="宋体"/>
                <w:szCs w:val="21"/>
              </w:rPr>
              <w:t xml:space="preserve"> </w:t>
            </w:r>
            <w:r>
              <w:rPr>
                <w:rFonts w:hint="eastAsia" w:ascii="宋体" w:hAnsi="宋体"/>
                <w:szCs w:val="21"/>
              </w:rPr>
              <w:t>62941：2016，具有较强的可信性。</w:t>
            </w:r>
          </w:p>
        </w:tc>
      </w:tr>
      <w:tr>
        <w:trPr>
          <w:cantSplit/>
          <w:trHeight w:val="1721"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6.5 参考文献</w:t>
            </w:r>
          </w:p>
        </w:tc>
        <w:tc>
          <w:tcPr>
            <w:tcW w:w="7831" w:type="dxa"/>
            <w:gridSpan w:val="10"/>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420" w:firstLineChars="200"/>
              <w:rPr>
                <w:rFonts w:ascii="宋体" w:cs="宋体"/>
                <w:kern w:val="0"/>
                <w:szCs w:val="21"/>
              </w:rPr>
            </w:pPr>
            <w:r>
              <w:rPr>
                <w:rFonts w:ascii="宋体" w:cs="宋体"/>
                <w:kern w:val="0"/>
                <w:szCs w:val="21"/>
              </w:rPr>
              <w:t xml:space="preserve">ANSI/ASQ Z1.4:2008 </w:t>
            </w:r>
            <w:r>
              <w:rPr>
                <w:rFonts w:hint="eastAsia" w:ascii="宋体" w:cs="宋体"/>
                <w:kern w:val="0"/>
                <w:szCs w:val="21"/>
              </w:rPr>
              <w:t>按属性检查用取样程序和表格</w:t>
            </w:r>
          </w:p>
          <w:p>
            <w:pPr>
              <w:autoSpaceDE w:val="0"/>
              <w:autoSpaceDN w:val="0"/>
              <w:adjustRightInd w:val="0"/>
              <w:ind w:firstLine="420" w:firstLineChars="200"/>
              <w:rPr>
                <w:rFonts w:ascii="宋体" w:cs="宋体"/>
                <w:kern w:val="0"/>
                <w:szCs w:val="21"/>
              </w:rPr>
            </w:pPr>
            <w:r>
              <w:rPr>
                <w:rFonts w:ascii="宋体" w:cs="宋体"/>
                <w:kern w:val="0"/>
                <w:szCs w:val="21"/>
              </w:rPr>
              <w:t>ANSI/ASQ Z1.9</w:t>
            </w:r>
            <w:r>
              <w:rPr>
                <w:rFonts w:hint="eastAsia" w:ascii="宋体" w:cs="宋体"/>
                <w:kern w:val="0"/>
                <w:szCs w:val="21"/>
              </w:rPr>
              <w:t>：</w:t>
            </w:r>
            <w:r>
              <w:rPr>
                <w:rFonts w:ascii="宋体" w:cs="宋体"/>
                <w:kern w:val="0"/>
                <w:szCs w:val="21"/>
              </w:rPr>
              <w:t xml:space="preserve">2008 </w:t>
            </w:r>
            <w:r>
              <w:rPr>
                <w:rFonts w:hint="eastAsia" w:ascii="宋体" w:cs="宋体"/>
                <w:kern w:val="0"/>
                <w:szCs w:val="21"/>
              </w:rPr>
              <w:t>不合格百分比变量检查的取样程序和图表</w:t>
            </w:r>
          </w:p>
          <w:p>
            <w:pPr>
              <w:autoSpaceDE w:val="0"/>
              <w:autoSpaceDN w:val="0"/>
              <w:adjustRightInd w:val="0"/>
              <w:ind w:left="420" w:leftChars="200"/>
              <w:rPr>
                <w:rFonts w:ascii="宋体" w:cs="宋体"/>
                <w:kern w:val="0"/>
                <w:szCs w:val="21"/>
              </w:rPr>
            </w:pPr>
            <w:r>
              <w:rPr>
                <w:rFonts w:ascii="宋体" w:cs="宋体"/>
                <w:kern w:val="0"/>
                <w:szCs w:val="21"/>
              </w:rPr>
              <w:t>ANSI/ESD S20.20</w:t>
            </w:r>
            <w:r>
              <w:rPr>
                <w:rFonts w:hint="eastAsia" w:ascii="宋体" w:cs="宋体"/>
                <w:kern w:val="0"/>
                <w:szCs w:val="21"/>
              </w:rPr>
              <w:t>：</w:t>
            </w:r>
            <w:r>
              <w:rPr>
                <w:rFonts w:ascii="宋体" w:cs="宋体"/>
                <w:kern w:val="0"/>
                <w:szCs w:val="21"/>
              </w:rPr>
              <w:t xml:space="preserve">2014 </w:t>
            </w:r>
            <w:r>
              <w:rPr>
                <w:rFonts w:hint="eastAsia" w:ascii="宋体" w:cs="宋体"/>
                <w:kern w:val="0"/>
                <w:szCs w:val="21"/>
              </w:rPr>
              <w:t>电气和电子零件、装置和设备的保护（不包括电动引爆装置）</w:t>
            </w:r>
          </w:p>
          <w:p>
            <w:pPr>
              <w:autoSpaceDE w:val="0"/>
              <w:autoSpaceDN w:val="0"/>
              <w:adjustRightInd w:val="0"/>
              <w:ind w:left="420" w:leftChars="200"/>
              <w:rPr>
                <w:rFonts w:ascii="宋体" w:cs="宋体"/>
                <w:kern w:val="0"/>
                <w:szCs w:val="21"/>
              </w:rPr>
            </w:pPr>
            <w:r>
              <w:rPr>
                <w:rFonts w:hint="eastAsia" w:ascii="宋体" w:cs="宋体"/>
                <w:kern w:val="0"/>
                <w:szCs w:val="21"/>
              </w:rPr>
              <w:t>故障模式影响分析--</w:t>
            </w:r>
            <w:r>
              <w:rPr>
                <w:rFonts w:ascii="宋体" w:cs="宋体"/>
                <w:kern w:val="0"/>
                <w:szCs w:val="21"/>
              </w:rPr>
              <w:t>AIAG</w:t>
            </w:r>
            <w:r>
              <w:rPr>
                <w:rFonts w:hint="eastAsia" w:ascii="宋体" w:cs="宋体"/>
                <w:kern w:val="0"/>
                <w:szCs w:val="21"/>
              </w:rPr>
              <w:t>出版</w:t>
            </w:r>
          </w:p>
          <w:p>
            <w:pPr>
              <w:autoSpaceDE w:val="0"/>
              <w:autoSpaceDN w:val="0"/>
              <w:adjustRightInd w:val="0"/>
              <w:ind w:firstLine="420" w:firstLineChars="200"/>
              <w:rPr>
                <w:rFonts w:ascii="宋体" w:cs="宋体"/>
                <w:kern w:val="0"/>
                <w:szCs w:val="21"/>
              </w:rPr>
            </w:pPr>
            <w:r>
              <w:rPr>
                <w:rFonts w:ascii="宋体" w:cs="宋体"/>
                <w:kern w:val="0"/>
                <w:szCs w:val="21"/>
              </w:rPr>
              <w:t>JCGM 100</w:t>
            </w:r>
            <w:r>
              <w:rPr>
                <w:rFonts w:hint="eastAsia" w:ascii="宋体" w:cs="宋体"/>
                <w:kern w:val="0"/>
                <w:szCs w:val="21"/>
              </w:rPr>
              <w:t>：</w:t>
            </w:r>
            <w:r>
              <w:rPr>
                <w:rFonts w:ascii="宋体" w:cs="宋体"/>
                <w:kern w:val="0"/>
                <w:szCs w:val="21"/>
              </w:rPr>
              <w:t xml:space="preserve">2008 GUM 1995 </w:t>
            </w:r>
            <w:r>
              <w:rPr>
                <w:rFonts w:hint="eastAsia" w:ascii="宋体" w:cs="宋体"/>
                <w:kern w:val="0"/>
                <w:szCs w:val="21"/>
              </w:rPr>
              <w:t>测量数据的评估-测量不确定度表达指南</w:t>
            </w:r>
          </w:p>
          <w:p>
            <w:pPr>
              <w:autoSpaceDE w:val="0"/>
              <w:autoSpaceDN w:val="0"/>
              <w:adjustRightInd w:val="0"/>
              <w:ind w:left="420" w:leftChars="200"/>
              <w:rPr>
                <w:rFonts w:ascii="宋体" w:cs="宋体"/>
                <w:kern w:val="0"/>
                <w:szCs w:val="21"/>
              </w:rPr>
            </w:pPr>
            <w:r>
              <w:rPr>
                <w:rFonts w:cs="宋体"/>
                <w:szCs w:val="21"/>
              </w:rPr>
              <w:t xml:space="preserve">JIS Q8901 </w:t>
            </w:r>
            <w:r>
              <w:rPr>
                <w:rFonts w:hint="eastAsia" w:cs="宋体"/>
                <w:szCs w:val="21"/>
              </w:rPr>
              <w:t>地面用光伏组件--可靠性保证系统要求(设计、生产和产品质量保证)</w:t>
            </w:r>
            <w:r>
              <w:rPr>
                <w:rFonts w:ascii="宋体" w:cs="宋体"/>
                <w:kern w:val="0"/>
                <w:szCs w:val="21"/>
              </w:rPr>
              <w:t xml:space="preserve"> </w:t>
            </w:r>
          </w:p>
        </w:tc>
      </w:tr>
      <w:tr>
        <w:trPr>
          <w:cantSplit/>
          <w:trHeight w:val="495" w:hRule="atLeast"/>
        </w:trPr>
        <w:tc>
          <w:tcPr>
            <w:tcW w:w="180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ascii="宋体" w:hAnsi="宋体"/>
                <w:color w:val="auto"/>
                <w:szCs w:val="21"/>
              </w:rPr>
              <w:t>联系人</w:t>
            </w:r>
          </w:p>
        </w:tc>
        <w:tc>
          <w:tcPr>
            <w:tcW w:w="128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张雪</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ascii="宋体" w:hAnsi="宋体"/>
                <w:color w:val="auto"/>
                <w:szCs w:val="21"/>
              </w:rPr>
              <w:t>联系电话</w:t>
            </w:r>
          </w:p>
        </w:tc>
        <w:tc>
          <w:tcPr>
            <w:tcW w:w="1620"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olor w:val="auto"/>
                <w:szCs w:val="21"/>
                <w:lang w:eastAsia="zh-CN"/>
              </w:rPr>
            </w:pPr>
            <w:r>
              <w:rPr>
                <w:rFonts w:hint="eastAsia" w:ascii="宋体" w:hAnsi="宋体"/>
                <w:color w:val="auto"/>
                <w:szCs w:val="21"/>
                <w:lang w:val="en-US" w:eastAsia="zh-CN"/>
              </w:rPr>
              <w:t>01083886207</w:t>
            </w:r>
          </w:p>
        </w:tc>
        <w:tc>
          <w:tcPr>
            <w:tcW w:w="14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ascii="宋体" w:hAnsi="宋体"/>
                <w:color w:val="auto"/>
                <w:szCs w:val="21"/>
              </w:rPr>
              <w:t>电子邮箱</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szCs w:val="21"/>
                <w:lang w:val="en-US" w:eastAsia="zh-CN"/>
              </w:rPr>
              <w:t>zhangxue</w:t>
            </w:r>
            <w:r>
              <w:rPr>
                <w:rFonts w:hint="eastAsia" w:ascii="宋体" w:hAnsi="宋体"/>
                <w:color w:val="auto"/>
                <w:szCs w:val="21"/>
              </w:rPr>
              <w:t>@cqc.com.cn</w:t>
            </w:r>
          </w:p>
        </w:tc>
      </w:tr>
      <w:tr>
        <w:trPr>
          <w:cantSplit/>
          <w:trHeight w:val="495" w:hRule="atLeast"/>
        </w:trPr>
        <w:tc>
          <w:tcPr>
            <w:tcW w:w="9625" w:type="dxa"/>
            <w:gridSpan w:val="11"/>
            <w:tcBorders>
              <w:top w:val="single" w:color="auto" w:sz="4" w:space="0"/>
              <w:left w:val="single" w:color="auto" w:sz="4" w:space="0"/>
              <w:bottom w:val="single" w:color="auto" w:sz="4" w:space="0"/>
              <w:right w:val="single" w:color="auto" w:sz="4" w:space="0"/>
            </w:tcBorders>
            <w:vAlign w:val="center"/>
          </w:tcPr>
          <w:p>
            <w:pPr>
              <w:adjustRightInd w:val="0"/>
              <w:spacing w:before="60" w:line="360" w:lineRule="auto"/>
              <w:ind w:firstLine="441" w:firstLineChars="210"/>
              <w:rPr>
                <w:rFonts w:ascii="宋体" w:hAnsi="宋体"/>
                <w:color w:val="000000"/>
                <w:szCs w:val="21"/>
              </w:rPr>
            </w:pPr>
            <w:r>
              <w:rPr>
                <w:rFonts w:ascii="宋体" w:hAnsi="宋体"/>
                <w:color w:val="000000"/>
                <w:szCs w:val="21"/>
              </w:rPr>
              <w:t>注1：本</w:t>
            </w:r>
            <w:r>
              <w:rPr>
                <w:rFonts w:hint="eastAsia" w:ascii="宋体" w:hAnsi="宋体"/>
                <w:color w:val="000000"/>
                <w:szCs w:val="21"/>
              </w:rPr>
              <w:t>格式</w:t>
            </w:r>
            <w:r>
              <w:rPr>
                <w:rFonts w:ascii="宋体" w:hAnsi="宋体"/>
                <w:color w:val="000000"/>
                <w:szCs w:val="21"/>
              </w:rPr>
              <w:t>的</w:t>
            </w:r>
            <w:r>
              <w:rPr>
                <w:rFonts w:hint="eastAsia" w:ascii="宋体" w:hAnsi="宋体"/>
                <w:color w:val="000000"/>
                <w:szCs w:val="21"/>
              </w:rPr>
              <w:t>通用</w:t>
            </w:r>
            <w:r>
              <w:rPr>
                <w:rFonts w:ascii="宋体" w:hAnsi="宋体"/>
                <w:color w:val="000000"/>
                <w:szCs w:val="21"/>
              </w:rPr>
              <w:t>部分为第1章、第2章、第4章和第6章。</w:t>
            </w:r>
          </w:p>
          <w:p>
            <w:pPr>
              <w:adjustRightInd w:val="0"/>
              <w:spacing w:before="60" w:line="360" w:lineRule="auto"/>
              <w:ind w:firstLine="441" w:firstLineChars="210"/>
              <w:rPr>
                <w:rFonts w:ascii="宋体" w:hAnsi="宋体"/>
                <w:color w:val="000000"/>
                <w:szCs w:val="21"/>
              </w:rPr>
            </w:pPr>
            <w:r>
              <w:rPr>
                <w:rFonts w:ascii="宋体" w:hAnsi="宋体"/>
                <w:color w:val="000000"/>
                <w:szCs w:val="21"/>
              </w:rPr>
              <w:t>注2：3.4适用于标准草案送审稿，3.5适用于标准草案报批稿，3.6中</w:t>
            </w:r>
            <w:r>
              <w:rPr>
                <w:rFonts w:hint="eastAsia" w:ascii="宋体" w:hAnsi="宋体"/>
                <w:color w:val="000000"/>
                <w:szCs w:val="21"/>
              </w:rPr>
              <w:t>“</w:t>
            </w:r>
            <w:r>
              <w:rPr>
                <w:rFonts w:ascii="宋体" w:hAnsi="宋体"/>
                <w:color w:val="000000"/>
                <w:szCs w:val="21"/>
              </w:rPr>
              <w:t>预期的管理目标</w:t>
            </w:r>
            <w:r>
              <w:rPr>
                <w:rFonts w:hint="eastAsia" w:ascii="宋体" w:hAnsi="宋体"/>
                <w:color w:val="000000"/>
                <w:szCs w:val="21"/>
              </w:rPr>
              <w:t>”</w:t>
            </w:r>
            <w:r>
              <w:rPr>
                <w:rFonts w:ascii="宋体" w:hAnsi="宋体"/>
                <w:color w:val="000000"/>
                <w:szCs w:val="21"/>
              </w:rPr>
              <w:t>适用于规程类标准，3.6中</w:t>
            </w:r>
            <w:r>
              <w:rPr>
                <w:rFonts w:hint="eastAsia" w:ascii="宋体" w:hAnsi="宋体"/>
                <w:color w:val="000000"/>
                <w:szCs w:val="21"/>
              </w:rPr>
              <w:t>“</w:t>
            </w:r>
            <w:r>
              <w:rPr>
                <w:rFonts w:ascii="宋体" w:hAnsi="宋体"/>
                <w:color w:val="000000"/>
                <w:szCs w:val="21"/>
              </w:rPr>
              <w:t>技术指标</w:t>
            </w:r>
            <w:r>
              <w:rPr>
                <w:rFonts w:hint="eastAsia" w:ascii="宋体" w:hAnsi="宋体"/>
                <w:color w:val="000000"/>
                <w:szCs w:val="21"/>
              </w:rPr>
              <w:t>”</w:t>
            </w:r>
            <w:r>
              <w:rPr>
                <w:rFonts w:ascii="宋体" w:hAnsi="宋体"/>
                <w:color w:val="000000"/>
                <w:szCs w:val="21"/>
              </w:rPr>
              <w:t>适用于方法类标准，第5章适用于方法类标准编制说明的编写。</w:t>
            </w:r>
          </w:p>
          <w:p>
            <w:pPr>
              <w:adjustRightInd w:val="0"/>
              <w:spacing w:before="60" w:line="360" w:lineRule="auto"/>
              <w:ind w:firstLine="441" w:firstLineChars="210"/>
              <w:rPr>
                <w:rFonts w:ascii="宋体" w:hAnsi="宋体"/>
                <w:color w:val="000000"/>
                <w:szCs w:val="21"/>
              </w:rPr>
            </w:pPr>
            <w:r>
              <w:rPr>
                <w:rFonts w:ascii="宋体" w:hAnsi="宋体"/>
                <w:color w:val="000000"/>
                <w:szCs w:val="21"/>
              </w:rPr>
              <w:t>注3：3.1和第6章为可选项，其余为必填项。</w:t>
            </w:r>
          </w:p>
        </w:tc>
      </w:tr>
      <w:tr>
        <w:trPr>
          <w:cantSplit/>
          <w:trHeight w:val="495" w:hRule="atLeast"/>
        </w:trPr>
        <w:tc>
          <w:tcPr>
            <w:tcW w:w="9625" w:type="dxa"/>
            <w:gridSpan w:val="11"/>
            <w:tcBorders>
              <w:top w:val="single" w:color="auto" w:sz="4" w:space="0"/>
              <w:left w:val="nil"/>
              <w:bottom w:val="nil"/>
              <w:right w:val="nil"/>
            </w:tcBorders>
            <w:vAlign w:val="center"/>
          </w:tcPr>
          <w:p>
            <w:pPr>
              <w:wordWrap w:val="0"/>
              <w:ind w:right="480"/>
              <w:jc w:val="right"/>
              <w:rPr>
                <w:rFonts w:ascii="宋体" w:hAnsi="宋体"/>
                <w:color w:val="000000"/>
                <w:szCs w:val="21"/>
              </w:rPr>
            </w:pPr>
            <w:r>
              <w:rPr>
                <w:rFonts w:ascii="宋体" w:hAnsi="宋体"/>
                <w:color w:val="000000"/>
                <w:szCs w:val="21"/>
              </w:rPr>
              <w:t>编写日期：</w:t>
            </w:r>
            <w:r>
              <w:rPr>
                <w:rFonts w:hint="eastAsia" w:ascii="宋体" w:hAnsi="宋体"/>
                <w:color w:val="000000"/>
                <w:szCs w:val="21"/>
              </w:rPr>
              <w:t>2019</w:t>
            </w:r>
            <w:r>
              <w:rPr>
                <w:rFonts w:ascii="宋体" w:hAnsi="宋体"/>
                <w:color w:val="000000"/>
                <w:szCs w:val="21"/>
              </w:rPr>
              <w:t>年3月20日</w:t>
            </w:r>
          </w:p>
        </w:tc>
      </w:tr>
    </w:tbl>
    <w:p>
      <w:pPr>
        <w:rPr>
          <w:rFonts w:eastAsia="方正仿宋简体"/>
          <w:snapToGrid w:val="0"/>
          <w:color w:val="000000"/>
          <w:kern w:val="0"/>
          <w:sz w:val="32"/>
          <w:szCs w:val="32"/>
        </w:rPr>
      </w:pPr>
    </w:p>
    <w:sectPr>
      <w:pgSz w:w="11907" w:h="16840"/>
      <w:pgMar w:top="1758" w:right="1418" w:bottom="1758" w:left="1418" w:header="851" w:footer="1134" w:gutter="0"/>
      <w:pgNumType w:start="1"/>
      <w:cols w:space="720" w:num="1"/>
      <w:titlePg/>
      <w:docGrid w:linePitch="291" w:charSpace="-378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Arial,Bold">
    <w:altName w:val="Arial"/>
    <w:panose1 w:val="00000000000000000000"/>
    <w:charset w:val="00"/>
    <w:family w:val="auto"/>
    <w:pitch w:val="default"/>
    <w:sig w:usb0="00000003"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80E0000" w:usb2="00000010" w:usb3="00000000" w:csb0="00040000" w:csb1="00000000"/>
  </w:font>
  <w:font w:name="方正仿宋简体">
    <w:altName w:val="微软雅黑"/>
    <w:panose1 w:val="00000000000000000000"/>
    <w:charset w:val="86"/>
    <w:family w:val="auto"/>
    <w:pitch w:val="default"/>
    <w:sig w:usb0="00000000" w:usb1="080E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等线">
    <w:altName w:val="宋体"/>
    <w:panose1 w:val="02010600030101010101"/>
    <w:charset w:val="86"/>
    <w:family w:val="auto"/>
    <w:pitch w:val="default"/>
    <w:sig w:usb0="A00002BF" w:usb1="38CF7CFA" w:usb2="00000016" w:usb3="00000000" w:csb0="0004000F" w:csb1="00000000"/>
  </w:font>
  <w:font w:name="等线 Light">
    <w:altName w:val="宋体"/>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1">
      <w:start w:val="1"/>
      <w:numFmt w:val="upperLetter"/>
      <w:pStyle w:val="12"/>
      <w:suff w:val="nothing"/>
      <w:lvlText w:val="附　录　%1"/>
      <w:lvlJc w:val="left"/>
      <w:pPr>
        <w:ind w:left="0" w:firstLine="0"/>
      </w:pPr>
      <w:rPr>
        <w:rFonts w:hint="eastAsia" w:ascii="黑体" w:hAnsi="Times New Roman" w:eastAsia="黑体"/>
        <w:b w:val="0"/>
        <w:i w:val="0"/>
        <w:sz w:val="21"/>
      </w:rPr>
    </w:lvl>
    <w:lvl w:ilvl="1" w:tentative="1">
      <w:start w:val="1"/>
      <w:numFmt w:val="decimal"/>
      <w:pStyle w:val="10"/>
      <w:suff w:val="nothing"/>
      <w:lvlText w:val="%1.%2　"/>
      <w:lvlJc w:val="left"/>
      <w:pPr>
        <w:ind w:left="0" w:firstLine="0"/>
      </w:pPr>
      <w:rPr>
        <w:rFonts w:hint="eastAsia" w:ascii="黑体" w:hAnsi="Times New Roman" w:eastAsia="黑体"/>
        <w:b w:val="0"/>
        <w:i w:val="0"/>
        <w:spacing w:val="0"/>
        <w:w w:val="100"/>
        <w:kern w:val="21"/>
        <w:sz w:val="21"/>
      </w:rPr>
    </w:lvl>
    <w:lvl w:ilvl="2" w:tentative="1">
      <w:start w:val="1"/>
      <w:numFmt w:val="decimal"/>
      <w:suff w:val="nothing"/>
      <w:lvlText w:val="%1.%2.%3　"/>
      <w:lvlJc w:val="left"/>
      <w:pPr>
        <w:ind w:left="0" w:firstLine="0"/>
      </w:pPr>
      <w:rPr>
        <w:rFonts w:hint="eastAsia" w:ascii="黑体" w:hAnsi="Times New Roman" w:eastAsia="黑体"/>
        <w:b w:val="0"/>
        <w:i w:val="0"/>
        <w:sz w:val="21"/>
      </w:rPr>
    </w:lvl>
    <w:lvl w:ilvl="3" w:tentative="1">
      <w:start w:val="1"/>
      <w:numFmt w:val="decimal"/>
      <w:suff w:val="nothing"/>
      <w:lvlText w:val="%1.%2.%3.%4　"/>
      <w:lvlJc w:val="left"/>
      <w:pPr>
        <w:ind w:left="0" w:firstLine="0"/>
      </w:pPr>
      <w:rPr>
        <w:rFonts w:hint="eastAsia" w:ascii="黑体" w:hAnsi="Times New Roman" w:eastAsia="黑体"/>
        <w:b w:val="0"/>
        <w:i w:val="0"/>
        <w:sz w:val="21"/>
      </w:rPr>
    </w:lvl>
    <w:lvl w:ilvl="4" w:tentative="1">
      <w:start w:val="1"/>
      <w:numFmt w:val="decimal"/>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4">
    <w:nsid w:val="00000004"/>
    <w:multiLevelType w:val="multilevel"/>
    <w:tmpl w:val="00000004"/>
    <w:lvl w:ilvl="0" w:tentative="1">
      <w:start w:val="1"/>
      <w:numFmt w:val="japaneseCounting"/>
      <w:lvlText w:val="%1、"/>
      <w:lvlJc w:val="left"/>
      <w:pPr>
        <w:ind w:left="1200" w:hanging="420"/>
      </w:pPr>
      <w:rPr>
        <w:rFonts w:hint="default"/>
      </w:rPr>
    </w:lvl>
    <w:lvl w:ilvl="1" w:tentative="1">
      <w:start w:val="1"/>
      <w:numFmt w:val="lowerLetter"/>
      <w:lvlText w:val="%2)"/>
      <w:lvlJc w:val="left"/>
      <w:pPr>
        <w:ind w:left="1620" w:hanging="420"/>
      </w:pPr>
    </w:lvl>
    <w:lvl w:ilvl="2" w:tentative="1">
      <w:start w:val="1"/>
      <w:numFmt w:val="lowerRoman"/>
      <w:lvlText w:val="%3."/>
      <w:lvlJc w:val="right"/>
      <w:pPr>
        <w:ind w:left="2040" w:hanging="420"/>
      </w:pPr>
    </w:lvl>
    <w:lvl w:ilvl="3" w:tentative="1">
      <w:start w:val="1"/>
      <w:numFmt w:val="decimal"/>
      <w:lvlText w:val="%4."/>
      <w:lvlJc w:val="left"/>
      <w:pPr>
        <w:ind w:left="2460" w:hanging="420"/>
      </w:pPr>
    </w:lvl>
    <w:lvl w:ilvl="4" w:tentative="1">
      <w:start w:val="1"/>
      <w:numFmt w:val="lowerLetter"/>
      <w:lvlText w:val="%5)"/>
      <w:lvlJc w:val="left"/>
      <w:pPr>
        <w:ind w:left="2880" w:hanging="420"/>
      </w:pPr>
    </w:lvl>
    <w:lvl w:ilvl="5" w:tentative="1">
      <w:start w:val="1"/>
      <w:numFmt w:val="lowerRoman"/>
      <w:lvlText w:val="%6."/>
      <w:lvlJc w:val="right"/>
      <w:pPr>
        <w:ind w:left="3300" w:hanging="420"/>
      </w:pPr>
    </w:lvl>
    <w:lvl w:ilvl="6" w:tentative="1">
      <w:start w:val="1"/>
      <w:numFmt w:val="decimal"/>
      <w:lvlText w:val="%7."/>
      <w:lvlJc w:val="left"/>
      <w:pPr>
        <w:ind w:left="3720" w:hanging="420"/>
      </w:pPr>
    </w:lvl>
    <w:lvl w:ilvl="7" w:tentative="1">
      <w:start w:val="1"/>
      <w:numFmt w:val="lowerLetter"/>
      <w:lvlText w:val="%8)"/>
      <w:lvlJc w:val="left"/>
      <w:pPr>
        <w:ind w:left="4140" w:hanging="420"/>
      </w:pPr>
    </w:lvl>
    <w:lvl w:ilvl="8" w:tentative="1">
      <w:start w:val="1"/>
      <w:numFmt w:val="lowerRoman"/>
      <w:lvlText w:val="%9."/>
      <w:lvlJc w:val="right"/>
      <w:pPr>
        <w:ind w:left="4560" w:hanging="420"/>
      </w:pPr>
    </w:lvl>
  </w:abstractNum>
  <w:num w:numId="1">
    <w:abstractNumId w:val="0"/>
  </w:num>
  <w:num w:numId="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tyle>
  <w:style w:type="paragraph" w:styleId="2">
    <w:name w:val="footer"/>
    <w:basedOn w:val="1"/>
    <w:link w:val="23"/>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24"/>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customStyle="1" w:styleId="5">
    <w:name w:val="HTML 地址1"/>
    <w:basedOn w:val="1"/>
    <w:pPr>
      <w:widowControl/>
      <w:spacing w:before="100" w:beforeAutospacing="1" w:after="100" w:afterAutospacing="1"/>
      <w:jc w:val="left"/>
    </w:pPr>
    <w:rPr>
      <w:rFonts w:ascii="宋体" w:hAnsi="宋体" w:cs="宋体"/>
      <w:kern w:val="0"/>
      <w:sz w:val="24"/>
    </w:rPr>
  </w:style>
  <w:style w:type="paragraph" w:customStyle="1" w:styleId="6">
    <w:name w:val="附录四级条标题"/>
    <w:basedOn w:val="7"/>
    <w:next w:val="1"/>
    <w:pPr>
      <w:outlineLvl w:val="5"/>
    </w:pPr>
  </w:style>
  <w:style w:type="paragraph" w:customStyle="1" w:styleId="7">
    <w:name w:val="附录三级条标题"/>
    <w:basedOn w:val="8"/>
    <w:next w:val="1"/>
    <w:pPr>
      <w:outlineLvl w:val="4"/>
    </w:pPr>
  </w:style>
  <w:style w:type="paragraph" w:customStyle="1" w:styleId="8">
    <w:name w:val="附录二级条标题"/>
    <w:basedOn w:val="9"/>
    <w:next w:val="1"/>
    <w:pPr>
      <w:outlineLvl w:val="3"/>
    </w:pPr>
  </w:style>
  <w:style w:type="paragraph" w:customStyle="1" w:styleId="9">
    <w:name w:val="附录一级条标题"/>
    <w:basedOn w:val="10"/>
    <w:next w:val="1"/>
    <w:pPr>
      <w:numPr>
        <w:ilvl w:val="1"/>
        <w:numId w:val="0"/>
      </w:numPr>
      <w:autoSpaceDN w:val="0"/>
      <w:outlineLvl w:val="2"/>
    </w:pPr>
  </w:style>
  <w:style w:type="paragraph" w:customStyle="1" w:styleId="10">
    <w:name w:val="附录章标题"/>
    <w:next w:val="1"/>
    <w:pPr>
      <w:numPr>
        <w:ilvl w:val="1"/>
        <w:numId w:val="1"/>
      </w:numPr>
      <w:wordWrap w:val="0"/>
      <w:overflowPunct w:val="0"/>
      <w:autoSpaceDE w:val="0"/>
      <w:spacing w:beforeLines="50" w:afterLines="50"/>
      <w:jc w:val="both"/>
      <w:textAlignment w:val="baseline"/>
      <w:outlineLvl w:val="1"/>
    </w:pPr>
    <w:rPr>
      <w:rFonts w:ascii="黑体" w:eastAsia="黑体"/>
      <w:kern w:val="21"/>
    </w:rPr>
  </w:style>
  <w:style w:type="paragraph" w:customStyle="1" w:styleId="11">
    <w:name w:val="附录五级条标题"/>
    <w:basedOn w:val="6"/>
    <w:next w:val="1"/>
    <w:pPr>
      <w:outlineLvl w:val="6"/>
    </w:pPr>
  </w:style>
  <w:style w:type="paragraph" w:customStyle="1" w:styleId="12">
    <w:name w:val="附录标识"/>
    <w:basedOn w:val="1"/>
    <w:pPr>
      <w:widowControl/>
      <w:numPr>
        <w:ilvl w:val="0"/>
        <w:numId w:val="1"/>
      </w:numPr>
      <w:shd w:val="clear" w:color="FFFFFF" w:fill="FFFFFF"/>
      <w:tabs>
        <w:tab w:val="left" w:pos="6405"/>
      </w:tabs>
      <w:spacing w:before="640" w:after="200"/>
      <w:jc w:val="center"/>
      <w:outlineLvl w:val="0"/>
    </w:pPr>
    <w:rPr>
      <w:rFonts w:ascii="黑体" w:eastAsia="黑体"/>
      <w:kern w:val="0"/>
    </w:rPr>
  </w:style>
  <w:style w:type="paragraph" w:customStyle="1" w:styleId="13">
    <w:name w:val="列出段落1"/>
    <w:basedOn w:val="1"/>
    <w:pPr>
      <w:ind w:firstLine="420" w:firstLineChars="200"/>
    </w:pPr>
  </w:style>
  <w:style w:type="paragraph" w:customStyle="1" w:styleId="14">
    <w:name w:val="段"/>
    <w:pPr>
      <w:autoSpaceDE w:val="0"/>
      <w:autoSpaceDN w:val="0"/>
      <w:spacing w:after="160" w:line="259" w:lineRule="auto"/>
      <w:ind w:firstLine="200" w:firstLineChars="200"/>
      <w:jc w:val="both"/>
    </w:pPr>
    <w:rPr>
      <w:rFonts w:ascii="宋体"/>
      <w:sz w:val="22"/>
      <w:lang w:bidi="ar-SA"/>
    </w:rPr>
  </w:style>
  <w:style w:type="paragraph" w:customStyle="1" w:styleId="15">
    <w:name w:val="文献分类号"/>
    <w:pPr>
      <w:widowControl w:val="0"/>
      <w:spacing w:after="160" w:line="259" w:lineRule="auto"/>
      <w:textAlignment w:val="center"/>
    </w:pPr>
    <w:rPr>
      <w:rFonts w:eastAsia="黑体"/>
      <w:sz w:val="22"/>
    </w:rPr>
  </w:style>
  <w:style w:type="paragraph" w:customStyle="1" w:styleId="16">
    <w:name w:val="标准书眉_奇数页"/>
    <w:next w:val="1"/>
    <w:pPr>
      <w:tabs>
        <w:tab w:val="center" w:pos="4154"/>
        <w:tab w:val="right" w:pos="8306"/>
      </w:tabs>
      <w:spacing w:after="120"/>
      <w:jc w:val="right"/>
    </w:pPr>
    <w:rPr>
      <w:sz w:val="21"/>
    </w:rPr>
  </w:style>
  <w:style w:type="paragraph" w:customStyle="1" w:styleId="17">
    <w:name w:val="国标-正文"/>
    <w:basedOn w:val="1"/>
    <w:link w:val="26"/>
    <w:pPr>
      <w:autoSpaceDE w:val="0"/>
      <w:autoSpaceDN w:val="0"/>
      <w:adjustRightInd w:val="0"/>
      <w:spacing w:line="360" w:lineRule="auto"/>
      <w:jc w:val="left"/>
    </w:pPr>
    <w:rPr>
      <w:rFonts w:cs="Arial,Bold"/>
      <w:bCs/>
      <w:sz w:val="24"/>
      <w:szCs w:val="28"/>
    </w:rPr>
  </w:style>
  <w:style w:type="paragraph" w:customStyle="1" w:styleId="18">
    <w:name w:val="p0"/>
    <w:basedOn w:val="1"/>
    <w:pPr>
      <w:widowControl/>
    </w:pPr>
    <w:rPr>
      <w:kern w:val="0"/>
      <w:szCs w:val="21"/>
    </w:rPr>
  </w:style>
  <w:style w:type="paragraph" w:customStyle="1" w:styleId="19">
    <w:name w:val="列表段落1"/>
    <w:basedOn w:val="1"/>
    <w:pPr>
      <w:widowControl/>
      <w:ind w:firstLine="420" w:firstLineChars="200"/>
      <w:jc w:val="left"/>
    </w:pPr>
    <w:rPr>
      <w:rFonts w:ascii="宋体" w:hAnsi="宋体" w:cs="宋体"/>
      <w:kern w:val="0"/>
      <w:sz w:val="24"/>
      <w:szCs w:val="24"/>
    </w:rPr>
  </w:style>
  <w:style w:type="paragraph" w:customStyle="1" w:styleId="20">
    <w:name w:val="普通(网站)1"/>
    <w:basedOn w:val="1"/>
    <w:pPr>
      <w:widowControl/>
      <w:spacing w:before="100" w:beforeAutospacing="1" w:after="100" w:afterAutospacing="1"/>
      <w:jc w:val="left"/>
    </w:pPr>
    <w:rPr>
      <w:rFonts w:ascii="宋体" w:hAnsi="宋体" w:cs="宋体"/>
      <w:kern w:val="0"/>
      <w:sz w:val="24"/>
      <w:szCs w:val="24"/>
    </w:rPr>
  </w:style>
  <w:style w:type="paragraph" w:customStyle="1" w:styleId="21">
    <w:name w:val="国标-注"/>
    <w:basedOn w:val="1"/>
    <w:link w:val="27"/>
    <w:pPr>
      <w:autoSpaceDE w:val="0"/>
      <w:autoSpaceDN w:val="0"/>
      <w:adjustRightInd w:val="0"/>
      <w:spacing w:line="360" w:lineRule="auto"/>
      <w:jc w:val="left"/>
    </w:pPr>
    <w:rPr>
      <w:rFonts w:ascii="Arial,Bold" w:hAnsi="Arial,Bold" w:cs="Arial,Bold"/>
      <w:bCs/>
      <w:sz w:val="21"/>
      <w:szCs w:val="28"/>
    </w:rPr>
  </w:style>
  <w:style w:type="paragraph" w:customStyle="1" w:styleId="22">
    <w:name w:val="Default"/>
    <w:pPr>
      <w:widowControl w:val="0"/>
      <w:autoSpaceDE w:val="0"/>
      <w:autoSpaceDN w:val="0"/>
    </w:pPr>
    <w:rPr>
      <w:rFonts w:hint="eastAsia" w:ascii="仿宋" w:hAnsi="仿宋" w:eastAsia="仿宋"/>
      <w:color w:val="000000"/>
      <w:sz w:val="24"/>
    </w:rPr>
  </w:style>
  <w:style w:type="character" w:customStyle="1" w:styleId="23">
    <w:name w:val="页脚 字符"/>
    <w:link w:val="2"/>
    <w:semiHidden/>
    <w:rPr>
      <w:rFonts w:ascii="Times New Roman" w:hAnsi="Times New Roman" w:eastAsia="宋体" w:cs="Times New Roman"/>
      <w:sz w:val="18"/>
      <w:szCs w:val="18"/>
    </w:rPr>
  </w:style>
  <w:style w:type="character" w:customStyle="1" w:styleId="24">
    <w:name w:val="页眉 字符"/>
    <w:link w:val="3"/>
    <w:semiHidden/>
    <w:rPr>
      <w:rFonts w:ascii="Times New Roman" w:hAnsi="Times New Roman" w:eastAsia="宋体" w:cs="Times New Roman"/>
      <w:sz w:val="18"/>
      <w:szCs w:val="18"/>
    </w:rPr>
  </w:style>
  <w:style w:type="character" w:customStyle="1" w:styleId="25">
    <w:name w:val="段 Char Char"/>
    <w:link w:val="14"/>
    <w:semiHidden/>
    <w:rPr>
      <w:rFonts w:ascii="宋体"/>
      <w:sz w:val="22"/>
      <w:lang w:bidi="ar-SA"/>
    </w:rPr>
  </w:style>
  <w:style w:type="character" w:customStyle="1" w:styleId="26">
    <w:name w:val="国标-正文 Char Char"/>
    <w:link w:val="17"/>
    <w:semiHidden/>
    <w:rPr>
      <w:rFonts w:cs="Arial,Bold"/>
      <w:bCs/>
      <w:sz w:val="24"/>
      <w:szCs w:val="28"/>
    </w:rPr>
  </w:style>
  <w:style w:type="character" w:customStyle="1" w:styleId="27">
    <w:name w:val="国标-注 Char Char"/>
    <w:link w:val="21"/>
    <w:semiHidden/>
    <w:rPr>
      <w:rFonts w:ascii="Arial,Bold" w:hAnsi="Arial,Bold" w:cs="Arial,Bold"/>
      <w:bCs/>
      <w:sz w:val="21"/>
      <w:szCs w:val="28"/>
    </w:rPr>
  </w:style>
  <w:style w:type="character" w:customStyle="1" w:styleId="28">
    <w:name w:val="段 Char Char Char"/>
    <w:rPr>
      <w:rFonts w:ascii="宋体"/>
      <w:sz w:val="21"/>
      <w:lang w:val="en-US" w:eastAsia="zh-CN" w:bidi="ar-SA"/>
    </w:rPr>
  </w:style>
  <w:style w:type="paragraph" w:customStyle="1" w:styleId="29">
    <w:name w:val="标准书脚_奇数页"/>
    <w:pPr>
      <w:spacing w:before="120"/>
      <w:ind w:right="198"/>
      <w:jc w:val="right"/>
    </w:pPr>
    <w:rPr>
      <w:rFonts w:ascii="宋体"/>
      <w:sz w:val="18"/>
      <w:szCs w:val="18"/>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606</Words>
  <Characters>3458</Characters>
  <Lines>28</Lines>
  <Paragraphs>8</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2016-10-16T01:39:00Z</dcterms:created>
  <dc:creator>盖红星</dc:creator>
  <dcterms:modified xsi:type="dcterms:W3CDTF">2019-03-27T14:17:44Z</dcterms:modified>
  <dc:title>陈金哲</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